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E9FB3" w14:textId="77777777" w:rsidR="002D4FC6" w:rsidRPr="009259E6" w:rsidRDefault="002D4FC6" w:rsidP="007C6C64">
      <w:pPr>
        <w:spacing w:beforeAutospacing="1" w:afterAutospacing="1"/>
        <w:jc w:val="center"/>
        <w:rPr>
          <w:rFonts w:ascii="Arial" w:hAnsi="Arial" w:cs="Arial"/>
          <w:b/>
          <w:bCs/>
          <w:sz w:val="22"/>
          <w:szCs w:val="22"/>
          <w:lang w:eastAsia="et-EE"/>
        </w:rPr>
      </w:pPr>
      <w:r w:rsidRPr="009259E6">
        <w:rPr>
          <w:rFonts w:ascii="Arial" w:hAnsi="Arial" w:cs="Arial"/>
          <w:b/>
          <w:bCs/>
          <w:sz w:val="22"/>
          <w:szCs w:val="22"/>
          <w:lang w:eastAsia="et-EE"/>
        </w:rPr>
        <w:t>Sotsiaalministri määruse „Sotsiaalministri 16. septembri 2025. a määruse nr 49 „Vanaduspensioniea kehtestamine“ muutmine“ eelnõu seletuskiri</w:t>
      </w:r>
    </w:p>
    <w:p w14:paraId="67B13D71" w14:textId="77777777" w:rsidR="002D4FC6" w:rsidRPr="009259E6" w:rsidRDefault="002D4FC6" w:rsidP="007C6C64">
      <w:pPr>
        <w:spacing w:before="100" w:beforeAutospacing="1" w:after="100" w:afterAutospacing="1"/>
        <w:jc w:val="both"/>
        <w:outlineLvl w:val="3"/>
        <w:rPr>
          <w:rFonts w:ascii="Arial" w:hAnsi="Arial" w:cs="Arial"/>
          <w:b/>
          <w:bCs/>
          <w:sz w:val="22"/>
          <w:szCs w:val="22"/>
          <w:lang w:eastAsia="et-EE"/>
        </w:rPr>
      </w:pPr>
      <w:r w:rsidRPr="009259E6">
        <w:rPr>
          <w:rFonts w:ascii="Arial" w:hAnsi="Arial" w:cs="Arial"/>
          <w:b/>
          <w:bCs/>
          <w:sz w:val="22"/>
          <w:szCs w:val="22"/>
          <w:lang w:eastAsia="et-EE"/>
        </w:rPr>
        <w:t xml:space="preserve">1.Sissejuhatus </w:t>
      </w:r>
    </w:p>
    <w:p w14:paraId="158EF75D" w14:textId="77777777" w:rsidR="002D4FC6" w:rsidRPr="009259E6" w:rsidRDefault="002D4FC6" w:rsidP="007C6C64">
      <w:pPr>
        <w:spacing w:before="100" w:beforeAutospacing="1" w:after="100" w:afterAutospacing="1"/>
        <w:jc w:val="both"/>
        <w:outlineLvl w:val="3"/>
        <w:rPr>
          <w:rFonts w:ascii="Arial" w:hAnsi="Arial" w:cs="Arial"/>
          <w:b/>
          <w:bCs/>
          <w:sz w:val="22"/>
          <w:szCs w:val="22"/>
          <w:lang w:eastAsia="et-EE"/>
        </w:rPr>
      </w:pPr>
      <w:r w:rsidRPr="009259E6">
        <w:rPr>
          <w:rFonts w:ascii="Arial" w:hAnsi="Arial" w:cs="Arial"/>
          <w:b/>
          <w:bCs/>
          <w:sz w:val="22"/>
          <w:szCs w:val="22"/>
          <w:lang w:eastAsia="et-EE"/>
        </w:rPr>
        <w:t>1.1. Sisukokkuvõte</w:t>
      </w:r>
    </w:p>
    <w:p w14:paraId="28B46010" w14:textId="499C1FB8" w:rsidR="002D4FC6" w:rsidRPr="009259E6" w:rsidRDefault="002D4FC6" w:rsidP="007C6C64">
      <w:pPr>
        <w:spacing w:before="100" w:beforeAutospacing="1" w:after="100" w:afterAutospacing="1"/>
        <w:jc w:val="both"/>
        <w:rPr>
          <w:rFonts w:ascii="Arial" w:eastAsia="Arial" w:hAnsi="Arial" w:cs="Arial"/>
          <w:sz w:val="22"/>
          <w:szCs w:val="22"/>
        </w:rPr>
      </w:pPr>
      <w:r w:rsidRPr="009259E6">
        <w:rPr>
          <w:rFonts w:ascii="Arial" w:hAnsi="Arial" w:cs="Arial"/>
          <w:sz w:val="22"/>
          <w:szCs w:val="22"/>
          <w:lang w:eastAsia="et-EE"/>
        </w:rPr>
        <w:t>Riikliku pensionikindlustuse seaduse (RPKS)</w:t>
      </w:r>
      <w:r w:rsidR="00236DA7" w:rsidRPr="009259E6">
        <w:rPr>
          <w:rFonts w:ascii="Arial" w:hAnsi="Arial" w:cs="Arial"/>
          <w:sz w:val="22"/>
          <w:szCs w:val="22"/>
          <w:lang w:eastAsia="et-EE"/>
        </w:rPr>
        <w:t xml:space="preserve"> § 7</w:t>
      </w:r>
      <w:r w:rsidR="009362B1" w:rsidRPr="009259E6">
        <w:rPr>
          <w:rFonts w:ascii="Arial" w:hAnsi="Arial" w:cs="Arial"/>
          <w:sz w:val="22"/>
          <w:szCs w:val="22"/>
          <w:vertAlign w:val="superscript"/>
          <w:lang w:eastAsia="et-EE"/>
        </w:rPr>
        <w:t>1</w:t>
      </w:r>
      <w:r w:rsidR="00236DA7" w:rsidRPr="009259E6">
        <w:rPr>
          <w:rFonts w:ascii="Arial" w:hAnsi="Arial" w:cs="Arial"/>
          <w:sz w:val="22"/>
          <w:szCs w:val="22"/>
          <w:lang w:eastAsia="et-EE"/>
        </w:rPr>
        <w:t xml:space="preserve"> lõike </w:t>
      </w:r>
      <w:r w:rsidR="009362B1" w:rsidRPr="009259E6">
        <w:rPr>
          <w:rFonts w:ascii="Arial" w:hAnsi="Arial" w:cs="Arial"/>
          <w:sz w:val="22"/>
          <w:szCs w:val="22"/>
          <w:lang w:eastAsia="et-EE"/>
        </w:rPr>
        <w:t>6</w:t>
      </w:r>
      <w:r w:rsidR="00236DA7" w:rsidRPr="009259E6">
        <w:rPr>
          <w:rFonts w:ascii="Arial" w:hAnsi="Arial" w:cs="Arial"/>
          <w:sz w:val="22"/>
          <w:szCs w:val="22"/>
          <w:lang w:eastAsia="et-EE"/>
        </w:rPr>
        <w:t xml:space="preserve"> </w:t>
      </w:r>
      <w:r w:rsidRPr="009259E6">
        <w:rPr>
          <w:rFonts w:ascii="Arial" w:hAnsi="Arial" w:cs="Arial"/>
          <w:sz w:val="22"/>
          <w:szCs w:val="22"/>
          <w:lang w:eastAsia="et-EE"/>
        </w:rPr>
        <w:t xml:space="preserve">kohaselt on sotsiaalministril kohustus kehtestada iga kalendriaasta kohta vanaduspensioniiga, mida rakendatakse nende isikute suhtes, kes vastaval aastal jõuavad vanaduspensioniikka. Pensioniiga määratakse kalendriaastapõhiselt ning õiguspärase ootuse tagamiseks tuleb </w:t>
      </w:r>
      <w:r w:rsidRPr="009259E6">
        <w:rPr>
          <w:rFonts w:ascii="Arial" w:eastAsia="Arial" w:hAnsi="Arial" w:cs="Arial"/>
          <w:sz w:val="22"/>
          <w:szCs w:val="22"/>
          <w:lang w:eastAsia="et-EE"/>
        </w:rPr>
        <w:t>m</w:t>
      </w:r>
      <w:r w:rsidRPr="009259E6">
        <w:rPr>
          <w:rFonts w:ascii="Arial" w:eastAsia="Arial" w:hAnsi="Arial" w:cs="Arial"/>
          <w:sz w:val="22"/>
          <w:szCs w:val="22"/>
        </w:rPr>
        <w:t>äärus kehtestada kaks aastat varem.</w:t>
      </w:r>
      <w:r w:rsidR="00267792" w:rsidRPr="009259E6">
        <w:rPr>
          <w:rFonts w:ascii="Arial" w:eastAsia="Arial" w:hAnsi="Arial" w:cs="Arial"/>
          <w:sz w:val="22"/>
          <w:szCs w:val="22"/>
        </w:rPr>
        <w:t xml:space="preserve"> Eelnõu kohaselt on 202</w:t>
      </w:r>
      <w:r w:rsidR="00236DA7" w:rsidRPr="009259E6">
        <w:rPr>
          <w:rFonts w:ascii="Arial" w:eastAsia="Arial" w:hAnsi="Arial" w:cs="Arial"/>
          <w:sz w:val="22"/>
          <w:szCs w:val="22"/>
        </w:rPr>
        <w:t>9</w:t>
      </w:r>
      <w:r w:rsidR="00267792" w:rsidRPr="009259E6">
        <w:rPr>
          <w:rFonts w:ascii="Arial" w:eastAsia="Arial" w:hAnsi="Arial" w:cs="Arial"/>
          <w:sz w:val="22"/>
          <w:szCs w:val="22"/>
        </w:rPr>
        <w:t xml:space="preserve">. aasta vanaduspensioniiga 65 aastat ja </w:t>
      </w:r>
      <w:r w:rsidR="00236DA7" w:rsidRPr="009259E6">
        <w:rPr>
          <w:rFonts w:ascii="Arial" w:eastAsia="Arial" w:hAnsi="Arial" w:cs="Arial"/>
          <w:sz w:val="22"/>
          <w:szCs w:val="22"/>
        </w:rPr>
        <w:t xml:space="preserve">neli </w:t>
      </w:r>
      <w:r w:rsidR="00267792" w:rsidRPr="009259E6">
        <w:rPr>
          <w:rFonts w:ascii="Arial" w:eastAsia="Arial" w:hAnsi="Arial" w:cs="Arial"/>
          <w:sz w:val="22"/>
          <w:szCs w:val="22"/>
        </w:rPr>
        <w:t xml:space="preserve">kuud. </w:t>
      </w:r>
    </w:p>
    <w:p w14:paraId="6EA0F3DA" w14:textId="77777777" w:rsidR="002D4FC6" w:rsidRPr="009259E6" w:rsidRDefault="002D4FC6" w:rsidP="007C6C64">
      <w:pPr>
        <w:jc w:val="both"/>
        <w:rPr>
          <w:rFonts w:ascii="Arial" w:hAnsi="Arial" w:cs="Arial"/>
          <w:b/>
          <w:bCs/>
          <w:sz w:val="22"/>
          <w:szCs w:val="22"/>
        </w:rPr>
      </w:pPr>
      <w:r w:rsidRPr="009259E6">
        <w:rPr>
          <w:rFonts w:ascii="Arial" w:hAnsi="Arial" w:cs="Arial"/>
          <w:b/>
          <w:bCs/>
          <w:sz w:val="22"/>
          <w:szCs w:val="22"/>
        </w:rPr>
        <w:t>1.2. Eelnõu ettevalmistaja</w:t>
      </w:r>
    </w:p>
    <w:p w14:paraId="2FB7EFC7" w14:textId="77777777" w:rsidR="002D4FC6" w:rsidRPr="009259E6" w:rsidRDefault="002D4FC6" w:rsidP="007C6C64">
      <w:pPr>
        <w:jc w:val="both"/>
        <w:rPr>
          <w:rFonts w:ascii="Arial" w:hAnsi="Arial" w:cs="Arial"/>
          <w:bCs/>
          <w:sz w:val="22"/>
          <w:szCs w:val="22"/>
        </w:rPr>
      </w:pPr>
    </w:p>
    <w:p w14:paraId="62031FB5" w14:textId="5502532A" w:rsidR="002D4FC6" w:rsidRPr="009259E6" w:rsidRDefault="002D4FC6" w:rsidP="007C6C64">
      <w:pPr>
        <w:jc w:val="both"/>
        <w:rPr>
          <w:rFonts w:ascii="Arial" w:hAnsi="Arial" w:cs="Arial"/>
          <w:sz w:val="22"/>
          <w:szCs w:val="22"/>
        </w:rPr>
      </w:pPr>
      <w:r w:rsidRPr="009259E6">
        <w:rPr>
          <w:rFonts w:ascii="Arial" w:hAnsi="Arial" w:cs="Arial"/>
          <w:sz w:val="22"/>
          <w:szCs w:val="22"/>
        </w:rPr>
        <w:t>Eelnõu ja seletuskirja on koostanud Sotsiaalministeeriumi hüvitiste ja pensionipoliitika osakonna nõunik Liidia Soontak (</w:t>
      </w:r>
      <w:hyperlink r:id="rId11" w:history="1">
        <w:r w:rsidRPr="009259E6">
          <w:rPr>
            <w:rStyle w:val="Hperlink"/>
            <w:rFonts w:ascii="Arial" w:hAnsi="Arial" w:cs="Arial"/>
            <w:sz w:val="22"/>
            <w:szCs w:val="22"/>
          </w:rPr>
          <w:t>liidia.soontak@sm.ee</w:t>
        </w:r>
      </w:hyperlink>
      <w:r w:rsidRPr="009259E6">
        <w:rPr>
          <w:rFonts w:ascii="Arial" w:hAnsi="Arial" w:cs="Arial"/>
          <w:sz w:val="22"/>
          <w:szCs w:val="22"/>
        </w:rPr>
        <w:t>), sotsiaalkindlustuse ja majandusekspert Magnus Piirits (</w:t>
      </w:r>
      <w:hyperlink r:id="rId12">
        <w:r w:rsidRPr="009259E6">
          <w:rPr>
            <w:rStyle w:val="Hperlink"/>
            <w:rFonts w:ascii="Arial" w:hAnsi="Arial" w:cs="Arial"/>
            <w:sz w:val="22"/>
            <w:szCs w:val="22"/>
          </w:rPr>
          <w:t>magnus.piirits@sm.ee</w:t>
        </w:r>
      </w:hyperlink>
      <w:r w:rsidRPr="009259E6">
        <w:rPr>
          <w:rFonts w:ascii="Arial" w:hAnsi="Arial" w:cs="Arial"/>
          <w:sz w:val="22"/>
          <w:szCs w:val="22"/>
        </w:rPr>
        <w:t>) ja pensionipoliitika juht Merle Sumil-Laanemaa (</w:t>
      </w:r>
      <w:hyperlink r:id="rId13">
        <w:r w:rsidRPr="009259E6">
          <w:rPr>
            <w:rStyle w:val="Hperlink"/>
            <w:rFonts w:ascii="Arial" w:hAnsi="Arial" w:cs="Arial"/>
            <w:sz w:val="22"/>
            <w:szCs w:val="22"/>
          </w:rPr>
          <w:t>merle.sumil-laanemaa@sm.ee).</w:t>
        </w:r>
      </w:hyperlink>
      <w:r w:rsidR="0016046D" w:rsidRPr="009259E6">
        <w:rPr>
          <w:rFonts w:ascii="Arial" w:hAnsi="Arial" w:cs="Arial"/>
          <w:sz w:val="22"/>
          <w:szCs w:val="22"/>
        </w:rPr>
        <w:t xml:space="preserve"> </w:t>
      </w:r>
      <w:r w:rsidRPr="009259E6">
        <w:rPr>
          <w:rFonts w:ascii="Arial" w:hAnsi="Arial" w:cs="Arial"/>
          <w:sz w:val="22"/>
          <w:szCs w:val="22"/>
        </w:rPr>
        <w:t>Mõjude analüüsi on koostanud Sotsiaalministeeriumi analüüsi ja statistika osakonna analüütik Elo Reitalu (</w:t>
      </w:r>
      <w:hyperlink r:id="rId14">
        <w:r w:rsidRPr="009259E6">
          <w:rPr>
            <w:rStyle w:val="Hperlink"/>
            <w:rFonts w:ascii="Arial" w:hAnsi="Arial" w:cs="Arial"/>
            <w:sz w:val="22"/>
            <w:szCs w:val="22"/>
          </w:rPr>
          <w:t>elo.reitalu@sm.ee</w:t>
        </w:r>
      </w:hyperlink>
      <w:r w:rsidRPr="009259E6">
        <w:rPr>
          <w:rFonts w:ascii="Arial" w:hAnsi="Arial" w:cs="Arial"/>
          <w:sz w:val="22"/>
          <w:szCs w:val="22"/>
        </w:rPr>
        <w:t>).</w:t>
      </w:r>
      <w:r w:rsidR="0016046D" w:rsidRPr="009259E6">
        <w:rPr>
          <w:rFonts w:ascii="Arial" w:hAnsi="Arial" w:cs="Arial"/>
          <w:sz w:val="22"/>
          <w:szCs w:val="22"/>
        </w:rPr>
        <w:t xml:space="preserve"> </w:t>
      </w:r>
      <w:r w:rsidRPr="009259E6">
        <w:rPr>
          <w:rFonts w:ascii="Arial" w:hAnsi="Arial" w:cs="Arial"/>
          <w:sz w:val="22"/>
          <w:szCs w:val="22"/>
        </w:rPr>
        <w:t xml:space="preserve">Eelnõu juriidilise ekspertiisi on teinud Sotsiaalministeeriumi õigusnõunik Reet Kodu </w:t>
      </w:r>
      <w:hyperlink r:id="rId15" w:history="1">
        <w:r w:rsidRPr="009259E6">
          <w:rPr>
            <w:rStyle w:val="Hperlink"/>
            <w:rFonts w:ascii="Arial" w:hAnsi="Arial" w:cs="Arial"/>
            <w:sz w:val="22"/>
            <w:szCs w:val="22"/>
          </w:rPr>
          <w:t>(reet.kodu@sm.ee</w:t>
        </w:r>
      </w:hyperlink>
      <w:r w:rsidRPr="009259E6">
        <w:rPr>
          <w:rFonts w:ascii="Arial" w:hAnsi="Arial" w:cs="Arial"/>
          <w:sz w:val="22"/>
          <w:szCs w:val="22"/>
        </w:rPr>
        <w:t>).</w:t>
      </w:r>
    </w:p>
    <w:p w14:paraId="4DAFE577" w14:textId="2290E4C6" w:rsidR="002D4FC6" w:rsidRPr="009259E6" w:rsidRDefault="002D4FC6" w:rsidP="007C6C64">
      <w:pPr>
        <w:pStyle w:val="paragraph"/>
        <w:spacing w:before="0" w:beforeAutospacing="0" w:after="0" w:afterAutospacing="0"/>
        <w:jc w:val="both"/>
        <w:textAlignment w:val="baseline"/>
        <w:rPr>
          <w:rFonts w:ascii="Arial" w:hAnsi="Arial" w:cs="Arial"/>
          <w:color w:val="000000"/>
          <w:sz w:val="22"/>
          <w:szCs w:val="22"/>
        </w:rPr>
      </w:pPr>
      <w:r w:rsidRPr="009259E6">
        <w:rPr>
          <w:rStyle w:val="eop"/>
          <w:rFonts w:ascii="Arial" w:hAnsi="Arial" w:cs="Arial"/>
          <w:color w:val="000000"/>
          <w:sz w:val="22"/>
          <w:szCs w:val="22"/>
        </w:rPr>
        <w:t> </w:t>
      </w:r>
    </w:p>
    <w:p w14:paraId="7002DBA5" w14:textId="77777777" w:rsidR="002D4FC6" w:rsidRPr="009259E6" w:rsidRDefault="002D4FC6" w:rsidP="007C6C64">
      <w:pPr>
        <w:jc w:val="both"/>
        <w:rPr>
          <w:rFonts w:ascii="Arial" w:hAnsi="Arial" w:cs="Arial"/>
          <w:b/>
          <w:bCs/>
          <w:color w:val="000000" w:themeColor="text1"/>
          <w:sz w:val="22"/>
          <w:szCs w:val="22"/>
        </w:rPr>
      </w:pPr>
      <w:r w:rsidRPr="009259E6">
        <w:rPr>
          <w:rFonts w:ascii="Arial" w:hAnsi="Arial" w:cs="Arial"/>
          <w:b/>
          <w:bCs/>
          <w:color w:val="000000" w:themeColor="text1"/>
          <w:sz w:val="22"/>
          <w:szCs w:val="22"/>
        </w:rPr>
        <w:t>1.3. Märkused</w:t>
      </w:r>
    </w:p>
    <w:p w14:paraId="38B14BD8" w14:textId="77777777" w:rsidR="002D4FC6" w:rsidRPr="009259E6" w:rsidRDefault="002D4FC6" w:rsidP="007C6C64">
      <w:pPr>
        <w:jc w:val="both"/>
        <w:rPr>
          <w:rFonts w:ascii="Arial" w:hAnsi="Arial" w:cs="Arial"/>
          <w:bCs/>
          <w:noProof/>
          <w:color w:val="000000" w:themeColor="text1"/>
          <w:sz w:val="22"/>
          <w:szCs w:val="22"/>
          <w:bdr w:val="none" w:sz="0" w:space="0" w:color="auto" w:frame="1"/>
        </w:rPr>
      </w:pPr>
    </w:p>
    <w:p w14:paraId="04B75D89" w14:textId="77777777" w:rsidR="002D4FC6" w:rsidRPr="009259E6" w:rsidRDefault="002D4FC6" w:rsidP="007C6C64">
      <w:pPr>
        <w:jc w:val="both"/>
        <w:rPr>
          <w:rStyle w:val="Kommentaariviide"/>
          <w:rFonts w:ascii="Arial" w:hAnsi="Arial" w:cs="Arial"/>
          <w:b/>
          <w:color w:val="000000" w:themeColor="text1"/>
          <w:sz w:val="22"/>
          <w:szCs w:val="22"/>
        </w:rPr>
      </w:pPr>
      <w:r w:rsidRPr="009259E6">
        <w:rPr>
          <w:rFonts w:ascii="Arial" w:hAnsi="Arial" w:cs="Arial"/>
          <w:bCs/>
          <w:noProof/>
          <w:color w:val="000000" w:themeColor="text1"/>
          <w:sz w:val="22"/>
          <w:szCs w:val="22"/>
          <w:bdr w:val="none" w:sz="0" w:space="0" w:color="auto" w:frame="1"/>
        </w:rPr>
        <w:t>Eelnõu ei ole seotud muude menetluses olevate eelnõudega</w:t>
      </w:r>
      <w:r w:rsidRPr="009259E6">
        <w:rPr>
          <w:rStyle w:val="Kommentaariviide"/>
          <w:rFonts w:ascii="Arial" w:hAnsi="Arial" w:cs="Arial"/>
          <w:b/>
          <w:noProof/>
          <w:color w:val="000000" w:themeColor="text1"/>
          <w:sz w:val="22"/>
          <w:szCs w:val="22"/>
        </w:rPr>
        <w:t>.</w:t>
      </w:r>
    </w:p>
    <w:p w14:paraId="098C0FDD" w14:textId="77777777" w:rsidR="002D4FC6" w:rsidRPr="009259E6" w:rsidRDefault="002D4FC6" w:rsidP="007C6C64">
      <w:pPr>
        <w:jc w:val="both"/>
        <w:rPr>
          <w:rStyle w:val="Kommentaariviide"/>
          <w:rFonts w:ascii="Arial" w:hAnsi="Arial" w:cs="Arial"/>
          <w:b/>
          <w:noProof/>
          <w:color w:val="000000" w:themeColor="text1"/>
          <w:sz w:val="22"/>
          <w:szCs w:val="22"/>
        </w:rPr>
      </w:pPr>
    </w:p>
    <w:p w14:paraId="5D494283" w14:textId="54A759E6" w:rsidR="002D4FC6" w:rsidRPr="009259E6" w:rsidRDefault="002D4FC6" w:rsidP="007C6C64">
      <w:pPr>
        <w:jc w:val="both"/>
        <w:rPr>
          <w:rStyle w:val="Kommentaariviide"/>
          <w:rFonts w:ascii="Arial" w:hAnsi="Arial" w:cs="Arial"/>
          <w:b/>
          <w:noProof/>
          <w:color w:val="000000" w:themeColor="text1"/>
          <w:sz w:val="22"/>
          <w:szCs w:val="22"/>
        </w:rPr>
      </w:pPr>
      <w:r w:rsidRPr="009259E6">
        <w:rPr>
          <w:rStyle w:val="Kommentaariviide"/>
          <w:rFonts w:ascii="Arial" w:hAnsi="Arial" w:cs="Arial"/>
          <w:bCs/>
          <w:noProof/>
          <w:color w:val="000000" w:themeColor="text1"/>
          <w:sz w:val="22"/>
          <w:szCs w:val="22"/>
        </w:rPr>
        <w:t>Määrusega</w:t>
      </w:r>
      <w:r w:rsidRPr="009259E6">
        <w:rPr>
          <w:rStyle w:val="Kommentaariviide"/>
          <w:rFonts w:ascii="Arial" w:hAnsi="Arial" w:cs="Arial"/>
          <w:b/>
          <w:noProof/>
          <w:color w:val="000000" w:themeColor="text1"/>
          <w:sz w:val="22"/>
          <w:szCs w:val="22"/>
        </w:rPr>
        <w:t xml:space="preserve"> </w:t>
      </w:r>
      <w:r w:rsidRPr="009259E6">
        <w:rPr>
          <w:rStyle w:val="Kommentaariviide"/>
          <w:rFonts w:ascii="Arial" w:hAnsi="Arial" w:cs="Arial"/>
          <w:bCs/>
          <w:noProof/>
          <w:color w:val="000000" w:themeColor="text1"/>
          <w:sz w:val="22"/>
          <w:szCs w:val="22"/>
        </w:rPr>
        <w:t>muudetakse</w:t>
      </w:r>
      <w:r w:rsidRPr="009259E6">
        <w:rPr>
          <w:rStyle w:val="Kommentaariviide"/>
          <w:rFonts w:ascii="Arial" w:hAnsi="Arial" w:cs="Arial"/>
          <w:b/>
          <w:noProof/>
          <w:color w:val="000000" w:themeColor="text1"/>
          <w:sz w:val="22"/>
          <w:szCs w:val="22"/>
        </w:rPr>
        <w:t xml:space="preserve"> </w:t>
      </w:r>
      <w:r w:rsidRPr="009259E6">
        <w:rPr>
          <w:rFonts w:ascii="Arial" w:hAnsi="Arial" w:cs="Arial"/>
          <w:sz w:val="22"/>
          <w:szCs w:val="22"/>
        </w:rPr>
        <w:t xml:space="preserve">sotsiaalministri 16. septembri 2025. a määruse nr 49 „Vanaduspensioniea kehtestamine“ redaktsiooni </w:t>
      </w:r>
      <w:r w:rsidR="00E37110" w:rsidRPr="009259E6">
        <w:rPr>
          <w:rFonts w:ascii="Arial" w:hAnsi="Arial" w:cs="Arial"/>
          <w:sz w:val="22"/>
          <w:szCs w:val="22"/>
        </w:rPr>
        <w:t>(</w:t>
      </w:r>
      <w:r w:rsidR="00F61CA1" w:rsidRPr="009259E6">
        <w:rPr>
          <w:rFonts w:ascii="Arial" w:hAnsi="Arial" w:cs="Arial"/>
          <w:sz w:val="22"/>
          <w:szCs w:val="22"/>
          <w:shd w:val="clear" w:color="auto" w:fill="FFFFFF"/>
        </w:rPr>
        <w:t>RT I, 12.12.2025, 10</w:t>
      </w:r>
      <w:r w:rsidR="00E37110" w:rsidRPr="009259E6">
        <w:rPr>
          <w:rFonts w:ascii="Arial" w:hAnsi="Arial" w:cs="Arial"/>
          <w:sz w:val="22"/>
          <w:szCs w:val="22"/>
          <w:shd w:val="clear" w:color="auto" w:fill="FFFFFF"/>
        </w:rPr>
        <w:t>)</w:t>
      </w:r>
      <w:r w:rsidR="00F61CA1" w:rsidRPr="009259E6">
        <w:rPr>
          <w:rFonts w:ascii="Arial" w:hAnsi="Arial" w:cs="Arial"/>
          <w:sz w:val="22"/>
          <w:szCs w:val="22"/>
          <w:shd w:val="clear" w:color="auto" w:fill="FFFFFF"/>
        </w:rPr>
        <w:t>.</w:t>
      </w:r>
    </w:p>
    <w:p w14:paraId="5E898264" w14:textId="77777777" w:rsidR="002D4FC6" w:rsidRPr="009259E6" w:rsidRDefault="002D4FC6" w:rsidP="007C6C64">
      <w:pPr>
        <w:pStyle w:val="Kommentaaritekst"/>
        <w:jc w:val="both"/>
        <w:rPr>
          <w:rStyle w:val="Kommentaariviide"/>
          <w:rFonts w:ascii="Arial" w:hAnsi="Arial" w:cs="Arial"/>
          <w:b/>
          <w:noProof/>
          <w:color w:val="000000" w:themeColor="text1"/>
          <w:sz w:val="22"/>
          <w:szCs w:val="22"/>
        </w:rPr>
      </w:pPr>
    </w:p>
    <w:p w14:paraId="5C5C1842" w14:textId="77777777" w:rsidR="002D4FC6" w:rsidRPr="009259E6" w:rsidRDefault="002D4FC6" w:rsidP="007C6C64">
      <w:pPr>
        <w:pStyle w:val="Kommentaaritekst"/>
        <w:tabs>
          <w:tab w:val="left" w:pos="426"/>
        </w:tabs>
        <w:jc w:val="both"/>
        <w:rPr>
          <w:rFonts w:ascii="Arial" w:hAnsi="Arial" w:cs="Arial"/>
          <w:sz w:val="22"/>
          <w:szCs w:val="22"/>
        </w:rPr>
      </w:pPr>
      <w:r w:rsidRPr="009259E6">
        <w:rPr>
          <w:rFonts w:ascii="Arial" w:hAnsi="Arial" w:cs="Arial"/>
          <w:sz w:val="22"/>
          <w:szCs w:val="22"/>
        </w:rPr>
        <w:t xml:space="preserve">Eelnõu ei ole seotud isikuandmete töötlemisega isikuandmete kaitse </w:t>
      </w:r>
      <w:proofErr w:type="spellStart"/>
      <w:r w:rsidRPr="009259E6">
        <w:rPr>
          <w:rFonts w:ascii="Arial" w:hAnsi="Arial" w:cs="Arial"/>
          <w:sz w:val="22"/>
          <w:szCs w:val="22"/>
        </w:rPr>
        <w:t>üldmääruse</w:t>
      </w:r>
      <w:proofErr w:type="spellEnd"/>
      <w:r w:rsidRPr="009259E6">
        <w:rPr>
          <w:rFonts w:ascii="Arial" w:hAnsi="Arial" w:cs="Arial"/>
          <w:sz w:val="22"/>
          <w:szCs w:val="22"/>
        </w:rPr>
        <w:t xml:space="preserve"> tähenduses. </w:t>
      </w:r>
    </w:p>
    <w:p w14:paraId="541B8553" w14:textId="77777777" w:rsidR="002D4FC6" w:rsidRPr="009259E6" w:rsidRDefault="002D4FC6" w:rsidP="007C6C64">
      <w:pPr>
        <w:pStyle w:val="Kommentaaritekst"/>
        <w:tabs>
          <w:tab w:val="left" w:pos="426"/>
        </w:tabs>
        <w:jc w:val="both"/>
        <w:rPr>
          <w:rFonts w:ascii="Arial" w:hAnsi="Arial" w:cs="Arial"/>
          <w:sz w:val="22"/>
          <w:szCs w:val="22"/>
        </w:rPr>
      </w:pPr>
    </w:p>
    <w:p w14:paraId="3ED6A9D4" w14:textId="77777777" w:rsidR="002D4FC6" w:rsidRPr="009259E6" w:rsidRDefault="002D4FC6" w:rsidP="007C6C64">
      <w:pPr>
        <w:pStyle w:val="Kommentaaritekst"/>
        <w:tabs>
          <w:tab w:val="left" w:pos="426"/>
        </w:tabs>
        <w:jc w:val="both"/>
        <w:rPr>
          <w:rFonts w:ascii="Arial" w:hAnsi="Arial" w:cs="Arial"/>
          <w:sz w:val="22"/>
          <w:szCs w:val="22"/>
        </w:rPr>
      </w:pPr>
      <w:r w:rsidRPr="009259E6">
        <w:rPr>
          <w:rFonts w:ascii="Arial" w:hAnsi="Arial" w:cs="Arial"/>
          <w:sz w:val="22"/>
          <w:szCs w:val="22"/>
        </w:rPr>
        <w:t xml:space="preserve">Eelnõuga ei kaasne vahetut mõju halduskoormusele. </w:t>
      </w:r>
    </w:p>
    <w:p w14:paraId="4C3DFA57" w14:textId="77777777" w:rsidR="002D4FC6" w:rsidRPr="009259E6" w:rsidRDefault="002D4FC6" w:rsidP="007C6C64">
      <w:pPr>
        <w:pStyle w:val="Kommentaaritekst"/>
        <w:jc w:val="both"/>
        <w:rPr>
          <w:rStyle w:val="Tugev"/>
          <w:rFonts w:ascii="Arial" w:hAnsi="Arial" w:cs="Arial"/>
          <w:b w:val="0"/>
          <w:noProof/>
          <w:color w:val="000000" w:themeColor="text1"/>
          <w:sz w:val="22"/>
          <w:szCs w:val="22"/>
        </w:rPr>
      </w:pPr>
    </w:p>
    <w:p w14:paraId="00B9AAA9" w14:textId="77777777" w:rsidR="002D4FC6" w:rsidRPr="009259E6" w:rsidRDefault="002D4FC6" w:rsidP="007C6C64">
      <w:pPr>
        <w:jc w:val="both"/>
        <w:rPr>
          <w:rFonts w:ascii="Arial" w:hAnsi="Arial" w:cs="Arial"/>
          <w:b/>
          <w:bCs/>
          <w:sz w:val="22"/>
          <w:szCs w:val="22"/>
          <w:lang w:eastAsia="et-EE"/>
        </w:rPr>
      </w:pPr>
      <w:r w:rsidRPr="009259E6">
        <w:rPr>
          <w:rFonts w:ascii="Arial" w:hAnsi="Arial" w:cs="Arial"/>
          <w:b/>
          <w:bCs/>
          <w:sz w:val="22"/>
          <w:szCs w:val="22"/>
          <w:lang w:eastAsia="et-EE"/>
        </w:rPr>
        <w:t>2. Eelnõu sisu ja võrdlev analüüs</w:t>
      </w:r>
    </w:p>
    <w:p w14:paraId="6DD4BAB5" w14:textId="77777777" w:rsidR="002D4FC6" w:rsidRPr="009259E6" w:rsidRDefault="002D4FC6" w:rsidP="007C6C64">
      <w:pPr>
        <w:jc w:val="both"/>
        <w:rPr>
          <w:rFonts w:ascii="Arial" w:hAnsi="Arial" w:cs="Arial"/>
          <w:b/>
          <w:bCs/>
          <w:sz w:val="22"/>
          <w:szCs w:val="22"/>
          <w:lang w:eastAsia="et-EE"/>
        </w:rPr>
      </w:pPr>
    </w:p>
    <w:p w14:paraId="150B9D21" w14:textId="1AD19B19" w:rsidR="002D4FC6" w:rsidRPr="009259E6" w:rsidRDefault="002D4FC6" w:rsidP="007C6C64">
      <w:pPr>
        <w:jc w:val="both"/>
        <w:rPr>
          <w:rFonts w:ascii="Arial" w:hAnsi="Arial" w:cs="Arial"/>
          <w:sz w:val="22"/>
          <w:szCs w:val="22"/>
          <w:lang w:eastAsia="et-EE"/>
        </w:rPr>
      </w:pPr>
      <w:r w:rsidRPr="009259E6">
        <w:rPr>
          <w:rFonts w:ascii="Arial" w:hAnsi="Arial" w:cs="Arial"/>
          <w:sz w:val="22"/>
          <w:szCs w:val="22"/>
          <w:lang w:eastAsia="et-EE"/>
        </w:rPr>
        <w:t xml:space="preserve">Eelnõu koosneb </w:t>
      </w:r>
      <w:r w:rsidR="003E4FD1" w:rsidRPr="009259E6">
        <w:rPr>
          <w:rFonts w:ascii="Arial" w:hAnsi="Arial" w:cs="Arial"/>
          <w:sz w:val="22"/>
          <w:szCs w:val="22"/>
          <w:lang w:eastAsia="et-EE"/>
        </w:rPr>
        <w:t>kahest paragrahvist.</w:t>
      </w:r>
    </w:p>
    <w:p w14:paraId="7997C53D" w14:textId="77777777" w:rsidR="002D4FC6" w:rsidRPr="009259E6" w:rsidRDefault="002D4FC6" w:rsidP="007C6C64">
      <w:pPr>
        <w:jc w:val="both"/>
        <w:rPr>
          <w:rFonts w:ascii="Arial" w:hAnsi="Arial" w:cs="Arial"/>
          <w:bCs/>
          <w:sz w:val="22"/>
          <w:szCs w:val="22"/>
          <w:lang w:eastAsia="et-EE"/>
        </w:rPr>
      </w:pPr>
    </w:p>
    <w:p w14:paraId="7E8B140A" w14:textId="01A53B18" w:rsidR="00AE22A9" w:rsidRPr="009259E6" w:rsidRDefault="00AE22A9" w:rsidP="007C6C64">
      <w:pPr>
        <w:jc w:val="both"/>
        <w:rPr>
          <w:rFonts w:ascii="Arial" w:hAnsi="Arial" w:cs="Arial"/>
          <w:sz w:val="22"/>
          <w:szCs w:val="22"/>
        </w:rPr>
      </w:pPr>
      <w:r w:rsidRPr="009259E6">
        <w:rPr>
          <w:rFonts w:ascii="Arial" w:hAnsi="Arial" w:cs="Arial"/>
          <w:b/>
          <w:bCs/>
          <w:sz w:val="22"/>
          <w:szCs w:val="22"/>
          <w:lang w:eastAsia="et-EE"/>
        </w:rPr>
        <w:t xml:space="preserve">Paragrahv 1 punktiga 1 </w:t>
      </w:r>
      <w:r w:rsidRPr="009259E6">
        <w:rPr>
          <w:rFonts w:ascii="Arial" w:hAnsi="Arial" w:cs="Arial"/>
          <w:sz w:val="22"/>
          <w:szCs w:val="22"/>
          <w:lang w:eastAsia="et-EE"/>
        </w:rPr>
        <w:t>sätestatakse, et</w:t>
      </w:r>
      <w:r w:rsidRPr="009259E6">
        <w:rPr>
          <w:rFonts w:ascii="Arial" w:hAnsi="Arial" w:cs="Arial"/>
          <w:b/>
          <w:bCs/>
          <w:sz w:val="22"/>
          <w:szCs w:val="22"/>
          <w:lang w:eastAsia="et-EE"/>
        </w:rPr>
        <w:t xml:space="preserve"> </w:t>
      </w:r>
      <w:r w:rsidRPr="009259E6">
        <w:rPr>
          <w:rFonts w:ascii="Arial" w:hAnsi="Arial" w:cs="Arial"/>
          <w:sz w:val="22"/>
          <w:szCs w:val="22"/>
        </w:rPr>
        <w:t>määruse preambulis asendatakse tekstiosa „§ 7¹ lõigete 6 ja 6¹“ tekstiosaga „§ 7 lõike 7“.</w:t>
      </w:r>
    </w:p>
    <w:p w14:paraId="388CCEDA" w14:textId="77777777" w:rsidR="00AE22A9" w:rsidRPr="009259E6" w:rsidRDefault="00AE22A9" w:rsidP="007C6C64">
      <w:pPr>
        <w:jc w:val="both"/>
        <w:rPr>
          <w:rFonts w:ascii="Arial" w:hAnsi="Arial" w:cs="Arial"/>
          <w:sz w:val="22"/>
          <w:szCs w:val="22"/>
          <w:lang w:eastAsia="et-EE"/>
        </w:rPr>
      </w:pPr>
    </w:p>
    <w:p w14:paraId="0CE8478E" w14:textId="0D14C255" w:rsidR="00AE22A9" w:rsidRPr="009259E6" w:rsidRDefault="00AE22A9" w:rsidP="007C6C64">
      <w:pPr>
        <w:jc w:val="both"/>
        <w:rPr>
          <w:rFonts w:ascii="Arial" w:hAnsi="Arial" w:cs="Arial"/>
          <w:sz w:val="22"/>
          <w:szCs w:val="22"/>
        </w:rPr>
      </w:pPr>
      <w:r w:rsidRPr="009259E6">
        <w:rPr>
          <w:rFonts w:ascii="Arial" w:hAnsi="Arial" w:cs="Arial"/>
          <w:sz w:val="22"/>
          <w:szCs w:val="22"/>
        </w:rPr>
        <w:t>Paragrahvi 1 punktiga 1 muudetakse määruse preambulis sisalduvat volitusnormi. Seoses RPKS-i muudatusega on vanaduspensioniea kehtestamise volitusnorm alates 1. jaanuarist 2027. a sätestatud RPKS § 7 lõikes 7. Selleks, et määrus jääks kehtima ja ei muutuks varasemate volitusnormide (RPKS § 7</w:t>
      </w:r>
      <w:r w:rsidRPr="009259E6">
        <w:rPr>
          <w:rFonts w:ascii="Arial" w:hAnsi="Arial" w:cs="Arial"/>
          <w:sz w:val="22"/>
          <w:szCs w:val="22"/>
          <w:vertAlign w:val="superscript"/>
        </w:rPr>
        <w:t>1</w:t>
      </w:r>
      <w:r w:rsidRPr="009259E6">
        <w:rPr>
          <w:rFonts w:ascii="Arial" w:hAnsi="Arial" w:cs="Arial"/>
          <w:sz w:val="22"/>
          <w:szCs w:val="22"/>
        </w:rPr>
        <w:t xml:space="preserve"> lõigete 6 ja 6</w:t>
      </w:r>
      <w:r w:rsidRPr="009259E6">
        <w:rPr>
          <w:rFonts w:ascii="Arial" w:hAnsi="Arial" w:cs="Arial"/>
          <w:sz w:val="22"/>
          <w:szCs w:val="22"/>
          <w:vertAlign w:val="superscript"/>
        </w:rPr>
        <w:t>1</w:t>
      </w:r>
      <w:r w:rsidRPr="009259E6">
        <w:rPr>
          <w:rFonts w:ascii="Arial" w:hAnsi="Arial" w:cs="Arial"/>
          <w:sz w:val="22"/>
          <w:szCs w:val="22"/>
        </w:rPr>
        <w:t>) kehtetuks tunnistamise tõttu kehtetuks, asendatakse varasemad volitusnormid uuega. See muudatus jõustub 1. jaanuaril 2027. a.</w:t>
      </w:r>
    </w:p>
    <w:p w14:paraId="3B212238" w14:textId="7A5C311E" w:rsidR="002D4FC6" w:rsidRPr="009259E6" w:rsidRDefault="00AE22A9" w:rsidP="007C6C64">
      <w:pPr>
        <w:spacing w:before="100" w:beforeAutospacing="1" w:after="100" w:afterAutospacing="1"/>
        <w:jc w:val="both"/>
        <w:rPr>
          <w:rFonts w:ascii="Arial" w:hAnsi="Arial" w:cs="Arial"/>
          <w:sz w:val="22"/>
          <w:szCs w:val="22"/>
          <w:lang w:eastAsia="et-EE"/>
        </w:rPr>
      </w:pPr>
      <w:r w:rsidRPr="009259E6">
        <w:rPr>
          <w:rFonts w:ascii="Arial" w:hAnsi="Arial" w:cs="Arial"/>
          <w:b/>
          <w:bCs/>
          <w:sz w:val="22"/>
          <w:szCs w:val="22"/>
          <w:lang w:eastAsia="et-EE"/>
        </w:rPr>
        <w:t>Paragrahvi 1 punktiga 2</w:t>
      </w:r>
      <w:r w:rsidRPr="009259E6">
        <w:rPr>
          <w:rFonts w:ascii="Arial" w:hAnsi="Arial" w:cs="Arial"/>
          <w:sz w:val="22"/>
          <w:szCs w:val="22"/>
          <w:lang w:eastAsia="et-EE"/>
        </w:rPr>
        <w:t xml:space="preserve"> täiendatakse määruse § 1 lõikega 3, millega kehtestatakse 2029. aasta vanaduspensioniiga, mis on 65 aastat ja neli kuud. </w:t>
      </w:r>
    </w:p>
    <w:p w14:paraId="012A9950" w14:textId="2A59746D" w:rsidR="002D4FC6" w:rsidRPr="009259E6" w:rsidRDefault="002D4FC6" w:rsidP="007C6C64">
      <w:pPr>
        <w:jc w:val="both"/>
        <w:rPr>
          <w:rFonts w:ascii="Arial" w:eastAsia="Arial" w:hAnsi="Arial" w:cs="Arial"/>
          <w:sz w:val="22"/>
          <w:szCs w:val="22"/>
        </w:rPr>
      </w:pPr>
      <w:r w:rsidRPr="009259E6">
        <w:rPr>
          <w:rFonts w:ascii="Arial" w:eastAsia="Arial" w:hAnsi="Arial" w:cs="Arial"/>
          <w:sz w:val="22"/>
          <w:szCs w:val="22"/>
        </w:rPr>
        <w:t>Vanaduspensioniea alused ja valem on sätestatud RPKS §-s 7</w:t>
      </w:r>
      <w:r w:rsidR="00B245CD" w:rsidRPr="009259E6">
        <w:rPr>
          <w:rFonts w:ascii="Arial" w:eastAsia="Arial" w:hAnsi="Arial" w:cs="Arial"/>
          <w:sz w:val="22"/>
          <w:szCs w:val="22"/>
          <w:vertAlign w:val="superscript"/>
        </w:rPr>
        <w:t>1</w:t>
      </w:r>
      <w:r w:rsidR="00B245CD" w:rsidRPr="009259E6">
        <w:rPr>
          <w:rFonts w:ascii="Arial" w:eastAsia="Arial" w:hAnsi="Arial" w:cs="Arial"/>
          <w:sz w:val="22"/>
          <w:szCs w:val="22"/>
        </w:rPr>
        <w:t xml:space="preserve"> (edaspidi, alates 1. jaanuarist 2027. a RPKS §-s 7)</w:t>
      </w:r>
      <w:r w:rsidR="00842E5A" w:rsidRPr="009259E6">
        <w:rPr>
          <w:rFonts w:ascii="Arial" w:eastAsia="Arial" w:hAnsi="Arial" w:cs="Arial"/>
          <w:sz w:val="22"/>
          <w:szCs w:val="22"/>
          <w:vertAlign w:val="superscript"/>
        </w:rPr>
        <w:t xml:space="preserve"> </w:t>
      </w:r>
      <w:r w:rsidR="00842E5A" w:rsidRPr="009259E6">
        <w:rPr>
          <w:rFonts w:ascii="Arial" w:eastAsia="Arial" w:hAnsi="Arial" w:cs="Arial"/>
          <w:sz w:val="22"/>
          <w:szCs w:val="22"/>
        </w:rPr>
        <w:t>.</w:t>
      </w:r>
      <w:r w:rsidRPr="009259E6">
        <w:rPr>
          <w:rFonts w:ascii="Arial" w:eastAsia="Arial" w:hAnsi="Arial" w:cs="Arial"/>
          <w:sz w:val="22"/>
          <w:szCs w:val="22"/>
        </w:rPr>
        <w:t xml:space="preserve"> Alates 2027. aastast on vanaduspensioniiga 65 aastat, millele lisatakse 65-aastaste isikute (meeste ja naiste) eeldatava eluea muutus, mille avaldab igal aastal Statistikaamet.</w:t>
      </w:r>
    </w:p>
    <w:p w14:paraId="5A4832CE" w14:textId="77777777" w:rsidR="002D4FC6" w:rsidRPr="009259E6" w:rsidRDefault="002D4FC6" w:rsidP="007C6C64">
      <w:pPr>
        <w:jc w:val="both"/>
        <w:rPr>
          <w:rFonts w:ascii="Arial" w:eastAsia="Arial" w:hAnsi="Arial" w:cs="Arial"/>
          <w:sz w:val="22"/>
          <w:szCs w:val="22"/>
        </w:rPr>
      </w:pPr>
    </w:p>
    <w:p w14:paraId="1ED1F124" w14:textId="77777777" w:rsidR="002D4FC6" w:rsidRPr="009259E6" w:rsidRDefault="002D4FC6" w:rsidP="007C6C64">
      <w:pPr>
        <w:jc w:val="both"/>
        <w:rPr>
          <w:rFonts w:ascii="Arial" w:eastAsia="Verdana" w:hAnsi="Arial" w:cs="Arial"/>
          <w:sz w:val="22"/>
          <w:szCs w:val="22"/>
        </w:rPr>
      </w:pPr>
      <w:r w:rsidRPr="009259E6">
        <w:rPr>
          <w:rFonts w:ascii="Arial" w:eastAsia="Arial" w:hAnsi="Arial" w:cs="Arial"/>
          <w:sz w:val="22"/>
          <w:szCs w:val="22"/>
        </w:rPr>
        <w:t xml:space="preserve">Vanaduspensioniea kehtestamisel võetakse baasperioodiks aastad 2018–2022 ja lähteperioodiks ajavahemik neli kuni kaheksa aastat enne aastat, mille kohta vanaduspensioniiga arvutatakse. Seega arvutatakse </w:t>
      </w:r>
      <w:r w:rsidRPr="009259E6">
        <w:rPr>
          <w:rFonts w:ascii="Arial" w:eastAsia="Verdana" w:hAnsi="Arial" w:cs="Arial"/>
          <w:sz w:val="22"/>
          <w:szCs w:val="22"/>
        </w:rPr>
        <w:t>eeldatava eluea kasv viie kalendriaasta libiseva keskmisena, et vältida üksikute aastate statistika kõikumist. Baasperioodiks on alati aastad 2018–2022, igal kalendriaastal muutub vaid viie aasta libisev keskmine.</w:t>
      </w:r>
    </w:p>
    <w:p w14:paraId="771CAB05" w14:textId="77777777" w:rsidR="002D4FC6" w:rsidRPr="009259E6" w:rsidRDefault="002D4FC6" w:rsidP="007C6C64">
      <w:pPr>
        <w:jc w:val="both"/>
        <w:rPr>
          <w:rFonts w:ascii="Arial" w:eastAsia="Verdana" w:hAnsi="Arial" w:cs="Arial"/>
          <w:sz w:val="22"/>
          <w:szCs w:val="22"/>
        </w:rPr>
      </w:pPr>
    </w:p>
    <w:p w14:paraId="21D9E0D2" w14:textId="77777777" w:rsidR="002D4FC6" w:rsidRPr="009259E6" w:rsidRDefault="002D4FC6" w:rsidP="007C6C64">
      <w:pPr>
        <w:jc w:val="both"/>
        <w:rPr>
          <w:rFonts w:ascii="Arial" w:eastAsia="Verdana" w:hAnsi="Arial" w:cs="Arial"/>
          <w:sz w:val="22"/>
          <w:szCs w:val="22"/>
        </w:rPr>
      </w:pPr>
      <w:r w:rsidRPr="009259E6">
        <w:rPr>
          <w:rFonts w:ascii="Arial" w:eastAsia="Verdana" w:hAnsi="Arial" w:cs="Arial"/>
          <w:sz w:val="22"/>
          <w:szCs w:val="22"/>
        </w:rPr>
        <w:t xml:space="preserve">Baasperioodil oli Statistikaameti andmete järgi 65-aastaste eeldatav eluiga vastavalt 18,41, 18,71, 18,76, 17,47 ja 18,23 aastat. Baasperioodil on 65-aastaste keskmine eeldatav eluiga 18,316 aastat. </w:t>
      </w:r>
    </w:p>
    <w:p w14:paraId="3E929176" w14:textId="77777777" w:rsidR="002D4FC6" w:rsidRPr="009259E6" w:rsidRDefault="002D4FC6" w:rsidP="007C6C64">
      <w:pPr>
        <w:jc w:val="both"/>
        <w:rPr>
          <w:rFonts w:ascii="Arial" w:eastAsia="Verdana" w:hAnsi="Arial" w:cs="Arial"/>
          <w:sz w:val="22"/>
          <w:szCs w:val="22"/>
        </w:rPr>
      </w:pPr>
    </w:p>
    <w:p w14:paraId="17E3260D" w14:textId="25CCD6D9" w:rsidR="002D4FC6" w:rsidRPr="009259E6" w:rsidRDefault="002D4FC6" w:rsidP="007C6C64">
      <w:pPr>
        <w:jc w:val="both"/>
        <w:rPr>
          <w:rFonts w:ascii="Arial" w:eastAsia="Arial" w:hAnsi="Arial" w:cs="Arial"/>
          <w:sz w:val="22"/>
          <w:szCs w:val="22"/>
        </w:rPr>
      </w:pPr>
      <w:r w:rsidRPr="009259E6">
        <w:rPr>
          <w:rFonts w:ascii="Arial" w:eastAsia="Verdana" w:hAnsi="Arial" w:cs="Arial"/>
          <w:sz w:val="22"/>
          <w:szCs w:val="22"/>
        </w:rPr>
        <w:t>202</w:t>
      </w:r>
      <w:r w:rsidR="00842E5A" w:rsidRPr="009259E6">
        <w:rPr>
          <w:rFonts w:ascii="Arial" w:eastAsia="Verdana" w:hAnsi="Arial" w:cs="Arial"/>
          <w:sz w:val="22"/>
          <w:szCs w:val="22"/>
        </w:rPr>
        <w:t>9</w:t>
      </w:r>
      <w:r w:rsidRPr="009259E6">
        <w:rPr>
          <w:rFonts w:ascii="Arial" w:eastAsia="Verdana" w:hAnsi="Arial" w:cs="Arial"/>
          <w:sz w:val="22"/>
          <w:szCs w:val="22"/>
        </w:rPr>
        <w:t>. aasta vanaduspensioniea arvutamisel on lähteperioodiks aastad 202</w:t>
      </w:r>
      <w:r w:rsidR="00CA7940" w:rsidRPr="009259E6">
        <w:rPr>
          <w:rFonts w:ascii="Arial" w:eastAsia="Verdana" w:hAnsi="Arial" w:cs="Arial"/>
          <w:sz w:val="22"/>
          <w:szCs w:val="22"/>
        </w:rPr>
        <w:t>1</w:t>
      </w:r>
      <w:r w:rsidRPr="009259E6">
        <w:rPr>
          <w:rFonts w:ascii="Arial" w:eastAsia="Verdana" w:hAnsi="Arial" w:cs="Arial"/>
          <w:sz w:val="22"/>
          <w:szCs w:val="22"/>
        </w:rPr>
        <w:t>–202</w:t>
      </w:r>
      <w:r w:rsidR="00CA7940" w:rsidRPr="009259E6">
        <w:rPr>
          <w:rFonts w:ascii="Arial" w:eastAsia="Verdana" w:hAnsi="Arial" w:cs="Arial"/>
          <w:sz w:val="22"/>
          <w:szCs w:val="22"/>
        </w:rPr>
        <w:t>5</w:t>
      </w:r>
      <w:r w:rsidRPr="009259E6">
        <w:rPr>
          <w:rFonts w:ascii="Arial" w:eastAsia="Verdana" w:hAnsi="Arial" w:cs="Arial"/>
          <w:sz w:val="22"/>
          <w:szCs w:val="22"/>
        </w:rPr>
        <w:t>. Nendel aastatel oli 65-aastaste eeldatav eluiga vastavalt 17,47, 18,23, 18,99</w:t>
      </w:r>
      <w:r w:rsidR="001829D1" w:rsidRPr="009259E6">
        <w:rPr>
          <w:rFonts w:ascii="Arial" w:eastAsia="Verdana" w:hAnsi="Arial" w:cs="Arial"/>
          <w:sz w:val="22"/>
          <w:szCs w:val="22"/>
        </w:rPr>
        <w:t>,</w:t>
      </w:r>
      <w:r w:rsidRPr="009259E6">
        <w:rPr>
          <w:rFonts w:ascii="Arial" w:eastAsia="Verdana" w:hAnsi="Arial" w:cs="Arial"/>
          <w:sz w:val="22"/>
          <w:szCs w:val="22"/>
        </w:rPr>
        <w:t xml:space="preserve"> 19,20</w:t>
      </w:r>
      <w:r w:rsidR="001829D1" w:rsidRPr="009259E6">
        <w:rPr>
          <w:rFonts w:ascii="Arial" w:eastAsia="Verdana" w:hAnsi="Arial" w:cs="Arial"/>
          <w:sz w:val="22"/>
          <w:szCs w:val="22"/>
        </w:rPr>
        <w:t xml:space="preserve"> ja 19,31</w:t>
      </w:r>
      <w:r w:rsidRPr="009259E6">
        <w:rPr>
          <w:rFonts w:ascii="Arial" w:eastAsia="Verdana" w:hAnsi="Arial" w:cs="Arial"/>
          <w:sz w:val="22"/>
          <w:szCs w:val="22"/>
        </w:rPr>
        <w:t xml:space="preserve"> aastat. Lähteperioodi keskmiseks väärtuseks on 18,</w:t>
      </w:r>
      <w:r w:rsidR="001829D1" w:rsidRPr="009259E6">
        <w:rPr>
          <w:rFonts w:ascii="Arial" w:eastAsia="Verdana" w:hAnsi="Arial" w:cs="Arial"/>
          <w:sz w:val="22"/>
          <w:szCs w:val="22"/>
        </w:rPr>
        <w:t>640</w:t>
      </w:r>
      <w:r w:rsidRPr="009259E6">
        <w:rPr>
          <w:rFonts w:ascii="Arial" w:eastAsia="Verdana" w:hAnsi="Arial" w:cs="Arial"/>
          <w:sz w:val="22"/>
          <w:szCs w:val="22"/>
        </w:rPr>
        <w:t xml:space="preserve"> aastat. Lähteperioodi erinevus baasperioodist on </w:t>
      </w:r>
      <w:r w:rsidR="00FC23C5" w:rsidRPr="009259E6">
        <w:rPr>
          <w:rFonts w:ascii="Arial" w:eastAsia="Verdana" w:hAnsi="Arial" w:cs="Arial"/>
          <w:sz w:val="22"/>
          <w:szCs w:val="22"/>
        </w:rPr>
        <w:t>3,888</w:t>
      </w:r>
      <w:r w:rsidRPr="009259E6">
        <w:rPr>
          <w:rFonts w:ascii="Arial" w:eastAsia="Verdana" w:hAnsi="Arial" w:cs="Arial"/>
          <w:sz w:val="22"/>
          <w:szCs w:val="22"/>
        </w:rPr>
        <w:t xml:space="preserve"> ehk ümardatult </w:t>
      </w:r>
      <w:r w:rsidR="00630697" w:rsidRPr="009259E6">
        <w:rPr>
          <w:rFonts w:ascii="Arial" w:eastAsia="Verdana" w:hAnsi="Arial" w:cs="Arial"/>
          <w:sz w:val="22"/>
          <w:szCs w:val="22"/>
        </w:rPr>
        <w:t>4</w:t>
      </w:r>
      <w:r w:rsidRPr="009259E6">
        <w:rPr>
          <w:rFonts w:ascii="Arial" w:eastAsia="Verdana" w:hAnsi="Arial" w:cs="Arial"/>
          <w:sz w:val="22"/>
          <w:szCs w:val="22"/>
        </w:rPr>
        <w:t xml:space="preserve"> kuud. </w:t>
      </w:r>
      <w:r w:rsidRPr="009259E6">
        <w:rPr>
          <w:rFonts w:ascii="Arial" w:eastAsia="Arial" w:hAnsi="Arial" w:cs="Arial"/>
          <w:sz w:val="22"/>
          <w:szCs w:val="22"/>
        </w:rPr>
        <w:t>Kooskõlas RPKS § 7</w:t>
      </w:r>
      <w:r w:rsidR="00264A4F" w:rsidRPr="009259E6">
        <w:rPr>
          <w:rFonts w:ascii="Arial" w:eastAsia="Arial" w:hAnsi="Arial" w:cs="Arial"/>
          <w:sz w:val="22"/>
          <w:szCs w:val="22"/>
          <w:vertAlign w:val="superscript"/>
        </w:rPr>
        <w:t>1</w:t>
      </w:r>
      <w:r w:rsidR="00630697" w:rsidRPr="009259E6">
        <w:rPr>
          <w:rFonts w:ascii="Arial" w:eastAsia="Arial" w:hAnsi="Arial" w:cs="Arial"/>
          <w:sz w:val="22"/>
          <w:szCs w:val="22"/>
          <w:vertAlign w:val="superscript"/>
        </w:rPr>
        <w:t xml:space="preserve"> </w:t>
      </w:r>
      <w:r w:rsidRPr="009259E6">
        <w:rPr>
          <w:rFonts w:ascii="Arial" w:eastAsia="Arial" w:hAnsi="Arial" w:cs="Arial"/>
          <w:sz w:val="22"/>
          <w:szCs w:val="22"/>
        </w:rPr>
        <w:t xml:space="preserve">lõikega </w:t>
      </w:r>
      <w:r w:rsidR="00264A4F" w:rsidRPr="009259E6">
        <w:rPr>
          <w:rFonts w:ascii="Arial" w:eastAsia="Arial" w:hAnsi="Arial" w:cs="Arial"/>
          <w:sz w:val="22"/>
          <w:szCs w:val="22"/>
        </w:rPr>
        <w:t>5</w:t>
      </w:r>
      <w:r w:rsidRPr="009259E6">
        <w:rPr>
          <w:rFonts w:ascii="Arial" w:eastAsia="Arial" w:hAnsi="Arial" w:cs="Arial"/>
          <w:sz w:val="22"/>
          <w:szCs w:val="22"/>
        </w:rPr>
        <w:t xml:space="preserve"> leitakse vanaduspensioniiga ühe kuu täpsusega. Eeldatava eluea muutuses olevad komakohad teisendatakse kuudeks, seega ümardatult on lähteperioodi ja baasperioodi erinevus </w:t>
      </w:r>
      <w:r w:rsidR="00597F6E" w:rsidRPr="009259E6">
        <w:rPr>
          <w:rFonts w:ascii="Arial" w:eastAsia="Arial" w:hAnsi="Arial" w:cs="Arial"/>
          <w:sz w:val="22"/>
          <w:szCs w:val="22"/>
        </w:rPr>
        <w:t>neli</w:t>
      </w:r>
      <w:r w:rsidRPr="009259E6">
        <w:rPr>
          <w:rFonts w:ascii="Arial" w:eastAsia="Arial" w:hAnsi="Arial" w:cs="Arial"/>
          <w:sz w:val="22"/>
          <w:szCs w:val="22"/>
        </w:rPr>
        <w:t xml:space="preserve"> kuud.</w:t>
      </w:r>
    </w:p>
    <w:p w14:paraId="696EE5D6" w14:textId="77777777" w:rsidR="002D4FC6" w:rsidRPr="009259E6" w:rsidRDefault="002D4FC6" w:rsidP="007C6C64">
      <w:pPr>
        <w:jc w:val="both"/>
        <w:rPr>
          <w:rFonts w:ascii="Arial" w:eastAsia="Verdana" w:hAnsi="Arial" w:cs="Arial"/>
          <w:sz w:val="22"/>
          <w:szCs w:val="22"/>
        </w:rPr>
      </w:pPr>
    </w:p>
    <w:p w14:paraId="51612DE9" w14:textId="77777777" w:rsidR="008F73F1" w:rsidRPr="009259E6" w:rsidRDefault="008F73F1" w:rsidP="007C6C64">
      <w:pPr>
        <w:jc w:val="both"/>
        <w:rPr>
          <w:rFonts w:ascii="Arial" w:eastAsia="Aptos" w:hAnsi="Arial" w:cs="Arial"/>
          <w:sz w:val="22"/>
          <w:szCs w:val="22"/>
          <w:lang w:eastAsia="et-EE"/>
        </w:rPr>
      </w:pPr>
      <w:r w:rsidRPr="009259E6">
        <w:rPr>
          <w:rFonts w:ascii="Arial" w:eastAsia="Aptos" w:hAnsi="Arial" w:cs="Arial"/>
          <w:noProof/>
          <w:color w:val="000000"/>
          <w:sz w:val="22"/>
          <w:szCs w:val="22"/>
          <w:lang w:eastAsia="et-EE"/>
        </w:rPr>
        <w:drawing>
          <wp:inline distT="0" distB="0" distL="0" distR="0" wp14:anchorId="4BEE2F00" wp14:editId="0B8DE593">
            <wp:extent cx="6559550" cy="1104900"/>
            <wp:effectExtent l="0" t="0" r="12700" b="0"/>
            <wp:docPr id="1" name="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6559550" cy="1104900"/>
                    </a:xfrm>
                    <a:prstGeom prst="rect">
                      <a:avLst/>
                    </a:prstGeom>
                    <a:noFill/>
                    <a:ln>
                      <a:noFill/>
                    </a:ln>
                  </pic:spPr>
                </pic:pic>
              </a:graphicData>
            </a:graphic>
          </wp:inline>
        </w:drawing>
      </w:r>
    </w:p>
    <w:p w14:paraId="182B3071" w14:textId="77777777" w:rsidR="008F73F1" w:rsidRPr="009259E6" w:rsidRDefault="008F73F1" w:rsidP="007C6C64">
      <w:pPr>
        <w:jc w:val="both"/>
        <w:rPr>
          <w:rFonts w:ascii="Arial" w:eastAsia="Aptos" w:hAnsi="Arial" w:cs="Arial"/>
          <w:sz w:val="22"/>
          <w:szCs w:val="22"/>
          <w:lang w:eastAsia="et-EE"/>
        </w:rPr>
      </w:pPr>
      <w:r w:rsidRPr="009259E6">
        <w:rPr>
          <w:rFonts w:ascii="Arial" w:eastAsia="Aptos" w:hAnsi="Arial" w:cs="Arial"/>
          <w:color w:val="203864"/>
          <w:sz w:val="22"/>
          <w:szCs w:val="22"/>
          <w:lang w:eastAsia="et-EE"/>
        </w:rPr>
        <w:t> </w:t>
      </w:r>
      <w:r w:rsidRPr="009259E6">
        <w:rPr>
          <w:rFonts w:ascii="Arial" w:eastAsia="Aptos" w:hAnsi="Arial" w:cs="Arial"/>
          <w:noProof/>
          <w:color w:val="203864"/>
          <w:sz w:val="22"/>
          <w:szCs w:val="22"/>
          <w:lang w:eastAsia="et-EE"/>
        </w:rPr>
        <w:drawing>
          <wp:inline distT="0" distB="0" distL="0" distR="0" wp14:anchorId="5DACF252" wp14:editId="4ED91D4A">
            <wp:extent cx="6330950" cy="184150"/>
            <wp:effectExtent l="0" t="0" r="12700" b="6350"/>
            <wp:docPr id="2" name="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6330950" cy="184150"/>
                    </a:xfrm>
                    <a:prstGeom prst="rect">
                      <a:avLst/>
                    </a:prstGeom>
                    <a:noFill/>
                    <a:ln>
                      <a:noFill/>
                    </a:ln>
                  </pic:spPr>
                </pic:pic>
              </a:graphicData>
            </a:graphic>
          </wp:inline>
        </w:drawing>
      </w:r>
    </w:p>
    <w:p w14:paraId="51DD7C2B" w14:textId="77777777" w:rsidR="00F62F1A" w:rsidRPr="009259E6" w:rsidRDefault="00F62F1A" w:rsidP="007C6C64">
      <w:pPr>
        <w:jc w:val="both"/>
        <w:rPr>
          <w:rFonts w:ascii="Arial" w:hAnsi="Arial" w:cs="Arial"/>
          <w:sz w:val="22"/>
          <w:szCs w:val="22"/>
        </w:rPr>
      </w:pPr>
    </w:p>
    <w:p w14:paraId="76166A41" w14:textId="3DD5394B" w:rsidR="002D4FC6" w:rsidRPr="009259E6" w:rsidRDefault="001C74B9" w:rsidP="007C6C64">
      <w:pPr>
        <w:jc w:val="both"/>
        <w:rPr>
          <w:rFonts w:ascii="Arial" w:hAnsi="Arial" w:cs="Arial"/>
          <w:sz w:val="22"/>
          <w:szCs w:val="22"/>
        </w:rPr>
      </w:pPr>
      <w:r w:rsidRPr="009259E6">
        <w:rPr>
          <w:rFonts w:ascii="Arial" w:hAnsi="Arial" w:cs="Arial"/>
          <w:sz w:val="22"/>
          <w:szCs w:val="22"/>
        </w:rPr>
        <w:t>2029. aastal jõuavad vanaduspensioniikka 196</w:t>
      </w:r>
      <w:r>
        <w:rPr>
          <w:rFonts w:ascii="Arial" w:hAnsi="Arial" w:cs="Arial"/>
          <w:sz w:val="22"/>
          <w:szCs w:val="22"/>
        </w:rPr>
        <w:t>3</w:t>
      </w:r>
      <w:r w:rsidRPr="009259E6">
        <w:rPr>
          <w:rFonts w:ascii="Arial" w:hAnsi="Arial" w:cs="Arial"/>
          <w:sz w:val="22"/>
          <w:szCs w:val="22"/>
        </w:rPr>
        <w:t xml:space="preserve">. aasta </w:t>
      </w:r>
      <w:r>
        <w:rPr>
          <w:rFonts w:ascii="Arial" w:hAnsi="Arial" w:cs="Arial"/>
          <w:sz w:val="22"/>
          <w:szCs w:val="22"/>
        </w:rPr>
        <w:t>oktoobrist 1964. aasta</w:t>
      </w:r>
      <w:r w:rsidRPr="009259E6">
        <w:rPr>
          <w:rFonts w:ascii="Arial" w:hAnsi="Arial" w:cs="Arial"/>
          <w:sz w:val="22"/>
          <w:szCs w:val="22"/>
        </w:rPr>
        <w:t xml:space="preserve"> augustini sündinud isikud.</w:t>
      </w:r>
      <w:r>
        <w:rPr>
          <w:rFonts w:ascii="Arial" w:hAnsi="Arial" w:cs="Arial"/>
          <w:sz w:val="22"/>
          <w:szCs w:val="22"/>
        </w:rPr>
        <w:t xml:space="preserve"> </w:t>
      </w:r>
      <w:r w:rsidR="0053304C" w:rsidRPr="009259E6">
        <w:rPr>
          <w:rFonts w:ascii="Arial" w:hAnsi="Arial" w:cs="Arial"/>
          <w:sz w:val="22"/>
          <w:szCs w:val="22"/>
        </w:rPr>
        <w:t>Näiteks 15. augustil 1964 sündinud isik saab 65 aasta ja nelja kuu vanuseks 15. detsembril 2029. Seevastu 1964. aasta septembrist detsembrini sündinud isikud 2029. aastal vanaduspensioniikka ei jõua. Näiteks 15. septembril 1964 sündinud isik saab 65 aasta ja nelja kuu vanuseks alles 15. jaanuaril 2030. Kuid tema vanaduspensioniiga tehakse kindlaks uue, 2030. aasta vanaduspensioniea alusel.</w:t>
      </w:r>
    </w:p>
    <w:p w14:paraId="35C54C3C" w14:textId="470B131A" w:rsidR="00CC6AD0" w:rsidRPr="009259E6" w:rsidRDefault="004B07C8" w:rsidP="007C6C64">
      <w:pPr>
        <w:spacing w:before="100" w:beforeAutospacing="1" w:after="100" w:afterAutospacing="1"/>
        <w:jc w:val="both"/>
        <w:rPr>
          <w:rFonts w:ascii="Arial" w:hAnsi="Arial" w:cs="Arial"/>
          <w:sz w:val="22"/>
          <w:szCs w:val="22"/>
        </w:rPr>
      </w:pPr>
      <w:r w:rsidRPr="009259E6">
        <w:rPr>
          <w:rFonts w:ascii="Arial" w:hAnsi="Arial" w:cs="Arial"/>
          <w:b/>
          <w:bCs/>
          <w:sz w:val="22"/>
          <w:szCs w:val="22"/>
        </w:rPr>
        <w:t>Paragrahvi 1 p</w:t>
      </w:r>
      <w:r w:rsidR="002D4FC6" w:rsidRPr="009259E6">
        <w:rPr>
          <w:rFonts w:ascii="Arial" w:hAnsi="Arial" w:cs="Arial"/>
          <w:b/>
          <w:bCs/>
          <w:sz w:val="22"/>
          <w:szCs w:val="22"/>
        </w:rPr>
        <w:t>unktiga 3</w:t>
      </w:r>
      <w:r w:rsidR="002D4FC6" w:rsidRPr="009259E6">
        <w:rPr>
          <w:rFonts w:ascii="Arial" w:hAnsi="Arial" w:cs="Arial"/>
          <w:sz w:val="22"/>
          <w:szCs w:val="22"/>
        </w:rPr>
        <w:t xml:space="preserve"> </w:t>
      </w:r>
      <w:r w:rsidRPr="009259E6">
        <w:rPr>
          <w:rFonts w:ascii="Arial" w:hAnsi="Arial" w:cs="Arial"/>
          <w:sz w:val="22"/>
          <w:szCs w:val="22"/>
          <w:lang w:eastAsia="et-EE"/>
        </w:rPr>
        <w:t>täiendatakse</w:t>
      </w:r>
      <w:r w:rsidR="00BF03E2" w:rsidRPr="009259E6">
        <w:rPr>
          <w:rFonts w:ascii="Arial" w:hAnsi="Arial" w:cs="Arial"/>
          <w:sz w:val="22"/>
          <w:szCs w:val="22"/>
          <w:lang w:eastAsia="et-EE"/>
        </w:rPr>
        <w:t xml:space="preserve"> määruse §</w:t>
      </w:r>
      <w:r w:rsidR="00281104" w:rsidRPr="009259E6">
        <w:rPr>
          <w:rFonts w:ascii="Arial" w:hAnsi="Arial" w:cs="Arial"/>
          <w:sz w:val="22"/>
          <w:szCs w:val="22"/>
          <w:lang w:eastAsia="et-EE"/>
        </w:rPr>
        <w:t xml:space="preserve"> 2 </w:t>
      </w:r>
      <w:r w:rsidRPr="009259E6">
        <w:rPr>
          <w:rFonts w:ascii="Arial" w:hAnsi="Arial" w:cs="Arial"/>
          <w:sz w:val="22"/>
          <w:szCs w:val="22"/>
          <w:lang w:eastAsia="et-EE"/>
        </w:rPr>
        <w:t>lõikega 3</w:t>
      </w:r>
      <w:r w:rsidR="00BF03E2" w:rsidRPr="009259E6">
        <w:rPr>
          <w:rFonts w:ascii="Arial" w:hAnsi="Arial" w:cs="Arial"/>
          <w:sz w:val="22"/>
          <w:szCs w:val="22"/>
          <w:lang w:eastAsia="et-EE"/>
        </w:rPr>
        <w:t xml:space="preserve"> ja sätestatakse, et </w:t>
      </w:r>
      <w:r w:rsidR="001A6AA2" w:rsidRPr="009259E6">
        <w:rPr>
          <w:rFonts w:ascii="Arial" w:hAnsi="Arial" w:cs="Arial"/>
          <w:sz w:val="22"/>
          <w:szCs w:val="22"/>
          <w:lang w:eastAsia="et-EE"/>
        </w:rPr>
        <w:t>2029. a vanaduspensioniiga rakendatakse alates 1. jaanuarist 2029. a.</w:t>
      </w:r>
      <w:r w:rsidRPr="009259E6">
        <w:rPr>
          <w:rFonts w:ascii="Arial" w:hAnsi="Arial" w:cs="Arial"/>
          <w:sz w:val="22"/>
          <w:szCs w:val="22"/>
          <w:lang w:eastAsia="et-EE"/>
        </w:rPr>
        <w:t xml:space="preserve"> </w:t>
      </w:r>
      <w:r w:rsidR="00A54315" w:rsidRPr="009259E6">
        <w:rPr>
          <w:rFonts w:ascii="Arial" w:hAnsi="Arial" w:cs="Arial"/>
          <w:sz w:val="22"/>
          <w:szCs w:val="22"/>
        </w:rPr>
        <w:t>Määruses on analoogsed rakendussätted juba 2027</w:t>
      </w:r>
      <w:r w:rsidR="003F5F72" w:rsidRPr="009259E6">
        <w:rPr>
          <w:rFonts w:ascii="Arial" w:hAnsi="Arial" w:cs="Arial"/>
          <w:sz w:val="22"/>
          <w:szCs w:val="22"/>
        </w:rPr>
        <w:t>.</w:t>
      </w:r>
      <w:r w:rsidR="00821F6E" w:rsidRPr="009259E6">
        <w:rPr>
          <w:rFonts w:ascii="Arial" w:hAnsi="Arial" w:cs="Arial"/>
          <w:sz w:val="22"/>
          <w:szCs w:val="22"/>
        </w:rPr>
        <w:t xml:space="preserve"> </w:t>
      </w:r>
      <w:r w:rsidR="00A54315" w:rsidRPr="009259E6">
        <w:rPr>
          <w:rFonts w:ascii="Arial" w:hAnsi="Arial" w:cs="Arial"/>
          <w:sz w:val="22"/>
          <w:szCs w:val="22"/>
        </w:rPr>
        <w:t>ja 2028. aasta vanaduspensioniea kohta. Muudatusega täiendatakse määrust 2029. aasta vanaduspensioniea rakendamist reguleeriva sättega.</w:t>
      </w:r>
    </w:p>
    <w:p w14:paraId="0AC39E75" w14:textId="395D6F3A" w:rsidR="00841498" w:rsidRPr="009259E6" w:rsidRDefault="00841498" w:rsidP="007C6C64">
      <w:pPr>
        <w:jc w:val="both"/>
        <w:rPr>
          <w:rFonts w:ascii="Arial" w:hAnsi="Arial" w:cs="Arial"/>
          <w:sz w:val="22"/>
          <w:szCs w:val="22"/>
        </w:rPr>
      </w:pPr>
      <w:r w:rsidRPr="009259E6">
        <w:rPr>
          <w:rFonts w:ascii="Arial" w:hAnsi="Arial" w:cs="Arial"/>
          <w:b/>
          <w:bCs/>
          <w:sz w:val="22"/>
          <w:szCs w:val="22"/>
        </w:rPr>
        <w:t>Eelnõu §-ga 2</w:t>
      </w:r>
      <w:r w:rsidRPr="009259E6">
        <w:rPr>
          <w:rFonts w:ascii="Arial" w:hAnsi="Arial" w:cs="Arial"/>
          <w:sz w:val="22"/>
          <w:szCs w:val="22"/>
        </w:rPr>
        <w:t xml:space="preserve"> nähakse ette, et määruse § 1 punkt 1 jõustub 1. jaanuaril 2027. </w:t>
      </w:r>
      <w:r w:rsidR="00821F6E" w:rsidRPr="009259E6">
        <w:rPr>
          <w:rFonts w:ascii="Arial" w:hAnsi="Arial" w:cs="Arial"/>
          <w:sz w:val="22"/>
          <w:szCs w:val="22"/>
        </w:rPr>
        <w:t xml:space="preserve">a. </w:t>
      </w:r>
      <w:r w:rsidRPr="009259E6">
        <w:rPr>
          <w:rFonts w:ascii="Arial" w:hAnsi="Arial" w:cs="Arial"/>
          <w:sz w:val="22"/>
          <w:szCs w:val="22"/>
        </w:rPr>
        <w:t xml:space="preserve">Volitusnormi viide viiakse kooskõlla alates samast kuupäevast kehtiva </w:t>
      </w:r>
      <w:r w:rsidR="00DD218F" w:rsidRPr="009259E6">
        <w:rPr>
          <w:rFonts w:ascii="Arial" w:hAnsi="Arial" w:cs="Arial"/>
          <w:sz w:val="22"/>
          <w:szCs w:val="22"/>
        </w:rPr>
        <w:t>RPKS-i</w:t>
      </w:r>
      <w:r w:rsidRPr="009259E6">
        <w:rPr>
          <w:rFonts w:ascii="Arial" w:hAnsi="Arial" w:cs="Arial"/>
          <w:sz w:val="22"/>
          <w:szCs w:val="22"/>
        </w:rPr>
        <w:t xml:space="preserve"> redaktsiooniga. Ülejäänud muudatused jõustuvad üldises korras pärast määruse avaldamist.</w:t>
      </w:r>
    </w:p>
    <w:p w14:paraId="410693CC" w14:textId="77777777" w:rsidR="00CC6AD0" w:rsidRPr="009259E6" w:rsidRDefault="00CC6AD0" w:rsidP="007C6C64">
      <w:pPr>
        <w:jc w:val="both"/>
        <w:rPr>
          <w:rFonts w:ascii="Arial" w:hAnsi="Arial" w:cs="Arial"/>
          <w:sz w:val="22"/>
          <w:szCs w:val="22"/>
        </w:rPr>
      </w:pPr>
    </w:p>
    <w:p w14:paraId="5834DE35" w14:textId="77777777" w:rsidR="002D4FC6" w:rsidRPr="009259E6" w:rsidRDefault="002D4FC6" w:rsidP="007C6C64">
      <w:pPr>
        <w:jc w:val="both"/>
        <w:rPr>
          <w:rFonts w:ascii="Arial" w:hAnsi="Arial" w:cs="Arial"/>
          <w:b/>
          <w:bCs/>
          <w:sz w:val="22"/>
          <w:szCs w:val="22"/>
          <w:lang w:eastAsia="et-EE"/>
        </w:rPr>
      </w:pPr>
      <w:r w:rsidRPr="009259E6">
        <w:rPr>
          <w:rFonts w:ascii="Arial" w:hAnsi="Arial" w:cs="Arial"/>
          <w:b/>
          <w:bCs/>
          <w:sz w:val="22"/>
          <w:szCs w:val="22"/>
          <w:lang w:eastAsia="et-EE"/>
        </w:rPr>
        <w:t>3. Eelnõu vastavus Euroopa Liidu õigusele</w:t>
      </w:r>
    </w:p>
    <w:p w14:paraId="7F3D7D87" w14:textId="77777777" w:rsidR="002D4FC6" w:rsidRPr="009259E6" w:rsidRDefault="002D4FC6" w:rsidP="007C6C64">
      <w:pPr>
        <w:jc w:val="both"/>
        <w:rPr>
          <w:rFonts w:ascii="Arial" w:hAnsi="Arial" w:cs="Arial"/>
          <w:sz w:val="22"/>
          <w:szCs w:val="22"/>
        </w:rPr>
      </w:pPr>
    </w:p>
    <w:p w14:paraId="1E233E0D" w14:textId="6F795C0D" w:rsidR="0043365E" w:rsidRPr="009259E6" w:rsidRDefault="002D4FC6" w:rsidP="007C6C64">
      <w:pPr>
        <w:jc w:val="both"/>
        <w:rPr>
          <w:rFonts w:ascii="Arial" w:hAnsi="Arial" w:cs="Arial"/>
          <w:sz w:val="22"/>
          <w:szCs w:val="22"/>
        </w:rPr>
      </w:pPr>
      <w:r w:rsidRPr="009259E6">
        <w:rPr>
          <w:rFonts w:ascii="Arial" w:hAnsi="Arial" w:cs="Arial"/>
          <w:sz w:val="22"/>
          <w:szCs w:val="22"/>
        </w:rPr>
        <w:t xml:space="preserve">Eelnõu ei ole seotud Euroopa Liidu õigusega. </w:t>
      </w:r>
    </w:p>
    <w:p w14:paraId="6FC88578" w14:textId="77777777" w:rsidR="00A56F06" w:rsidRPr="009259E6" w:rsidRDefault="00A56F06" w:rsidP="007C6C64">
      <w:pPr>
        <w:jc w:val="both"/>
        <w:rPr>
          <w:rFonts w:ascii="Arial" w:hAnsi="Arial" w:cs="Arial"/>
          <w:b/>
          <w:bCs/>
          <w:sz w:val="22"/>
          <w:szCs w:val="22"/>
          <w:lang w:eastAsia="et-EE"/>
        </w:rPr>
      </w:pPr>
    </w:p>
    <w:p w14:paraId="5FD2BEF6" w14:textId="055D851E" w:rsidR="00CC1168" w:rsidRPr="009259E6" w:rsidRDefault="7C68E760" w:rsidP="007C6C64">
      <w:pPr>
        <w:jc w:val="both"/>
        <w:rPr>
          <w:rFonts w:ascii="Arial" w:hAnsi="Arial" w:cs="Arial"/>
          <w:b/>
          <w:bCs/>
          <w:sz w:val="22"/>
          <w:szCs w:val="22"/>
          <w:lang w:eastAsia="et-EE"/>
        </w:rPr>
      </w:pPr>
      <w:r w:rsidRPr="009259E6">
        <w:rPr>
          <w:rFonts w:ascii="Arial" w:hAnsi="Arial" w:cs="Arial"/>
          <w:b/>
          <w:bCs/>
          <w:sz w:val="22"/>
          <w:szCs w:val="22"/>
          <w:lang w:eastAsia="et-EE"/>
        </w:rPr>
        <w:t>4. Määruse mõjud</w:t>
      </w:r>
    </w:p>
    <w:p w14:paraId="183094F1" w14:textId="77777777" w:rsidR="00FC6BD7" w:rsidRPr="009259E6" w:rsidRDefault="00FC6BD7" w:rsidP="007C6C64">
      <w:pPr>
        <w:jc w:val="both"/>
        <w:rPr>
          <w:rFonts w:ascii="Arial" w:hAnsi="Arial" w:cs="Arial"/>
          <w:b/>
          <w:bCs/>
          <w:sz w:val="22"/>
          <w:szCs w:val="22"/>
          <w:lang w:eastAsia="et-EE"/>
        </w:rPr>
      </w:pPr>
    </w:p>
    <w:p w14:paraId="7147C6B7" w14:textId="77777777" w:rsidR="006774E3" w:rsidRPr="009259E6" w:rsidRDefault="006774E3" w:rsidP="007C6C64">
      <w:pPr>
        <w:jc w:val="both"/>
        <w:rPr>
          <w:rFonts w:ascii="Arial" w:hAnsi="Arial" w:cs="Arial"/>
          <w:sz w:val="22"/>
          <w:szCs w:val="22"/>
          <w:lang w:eastAsia="et-EE"/>
        </w:rPr>
      </w:pPr>
      <w:r w:rsidRPr="009259E6">
        <w:rPr>
          <w:rFonts w:ascii="Arial" w:hAnsi="Arial" w:cs="Arial"/>
          <w:sz w:val="22"/>
          <w:szCs w:val="22"/>
          <w:lang w:eastAsia="et-EE"/>
        </w:rPr>
        <w:t xml:space="preserve">Määruses esitatud muudatuste rakendamisel võib eeldada mõju järgmistes valdkondades: sotsiaalne, sealhulgas demograafiline mõju ning </w:t>
      </w:r>
      <w:r w:rsidRPr="009259E6">
        <w:rPr>
          <w:rFonts w:ascii="Arial" w:eastAsia="Arial" w:hAnsi="Arial" w:cs="Arial"/>
          <w:sz w:val="22"/>
          <w:szCs w:val="22"/>
        </w:rPr>
        <w:t>mõju riigiasutuste ja kohaliku omavalitsuse korraldusele ja eelarvele</w:t>
      </w:r>
      <w:r w:rsidRPr="009259E6">
        <w:rPr>
          <w:rFonts w:ascii="Arial" w:hAnsi="Arial" w:cs="Arial"/>
          <w:sz w:val="22"/>
          <w:szCs w:val="22"/>
          <w:lang w:eastAsia="et-EE"/>
        </w:rPr>
        <w:t xml:space="preserve">. Mõjude olulisuse tuvastamiseks hinnati nimetatud valdkondi nelja kriteeriumi alusel: mõju ulatus, mõju avaldumise sagedus, mõjutatud sihtrühma suurus ja ebasoovitavate mõjude kaasnemise risk. Eelnõus esitatud muudatused ei avalda mõju </w:t>
      </w:r>
      <w:r w:rsidRPr="009259E6">
        <w:rPr>
          <w:rFonts w:ascii="Arial" w:hAnsi="Arial" w:cs="Arial"/>
          <w:sz w:val="22"/>
          <w:szCs w:val="22"/>
          <w:lang w:eastAsia="et-EE"/>
        </w:rPr>
        <w:lastRenderedPageBreak/>
        <w:t xml:space="preserve">regionaalarengule, elu- ja looduskeskkonnale ega riigi julgeolekule ja välissuhetele ning seetõttu ei ole mõju olulisust nendes mõjuvaldkondades hinnatud. </w:t>
      </w:r>
    </w:p>
    <w:p w14:paraId="1CC32737" w14:textId="77777777" w:rsidR="00821F6E" w:rsidRPr="009259E6" w:rsidRDefault="00821F6E" w:rsidP="007C6C64">
      <w:pPr>
        <w:jc w:val="both"/>
        <w:rPr>
          <w:rFonts w:ascii="Arial" w:hAnsi="Arial" w:cs="Arial"/>
          <w:sz w:val="22"/>
          <w:szCs w:val="22"/>
          <w:lang w:eastAsia="et-EE"/>
        </w:rPr>
      </w:pPr>
    </w:p>
    <w:p w14:paraId="699F42B4" w14:textId="3803D394" w:rsidR="006774E3" w:rsidRPr="009259E6" w:rsidRDefault="006774E3" w:rsidP="007C6C64">
      <w:pPr>
        <w:jc w:val="both"/>
        <w:rPr>
          <w:rFonts w:ascii="Arial" w:hAnsi="Arial" w:cs="Arial"/>
          <w:sz w:val="22"/>
          <w:szCs w:val="22"/>
          <w:lang w:eastAsia="et-EE"/>
        </w:rPr>
      </w:pPr>
      <w:r w:rsidRPr="009259E6">
        <w:rPr>
          <w:rFonts w:ascii="Arial" w:hAnsi="Arial" w:cs="Arial"/>
          <w:sz w:val="22"/>
          <w:szCs w:val="22"/>
          <w:lang w:eastAsia="et-EE"/>
        </w:rPr>
        <w:t>Kavandatava muudatuse kohaselt on 2029. aastal vanaduspensioniiga 65 aastat ja 4 kuud; võrreldes 2028. aastaga suureneb pensioniiga ühe kuu võrra.</w:t>
      </w:r>
    </w:p>
    <w:p w14:paraId="1DCEE6B5" w14:textId="77777777" w:rsidR="006774E3" w:rsidRPr="009259E6" w:rsidRDefault="006774E3" w:rsidP="007C6C64">
      <w:pPr>
        <w:jc w:val="both"/>
        <w:rPr>
          <w:rFonts w:ascii="Arial" w:hAnsi="Arial" w:cs="Arial"/>
          <w:sz w:val="22"/>
          <w:szCs w:val="22"/>
          <w:lang w:eastAsia="et-EE"/>
        </w:rPr>
      </w:pPr>
    </w:p>
    <w:p w14:paraId="25757623" w14:textId="77777777" w:rsidR="006774E3" w:rsidRPr="009259E6" w:rsidRDefault="006774E3" w:rsidP="007C6C64">
      <w:pPr>
        <w:jc w:val="both"/>
        <w:rPr>
          <w:rFonts w:ascii="Arial" w:hAnsi="Arial" w:cs="Arial"/>
          <w:sz w:val="22"/>
          <w:szCs w:val="22"/>
          <w:lang w:eastAsia="et-EE"/>
        </w:rPr>
      </w:pPr>
      <w:r w:rsidRPr="009259E6">
        <w:rPr>
          <w:rFonts w:ascii="Arial" w:hAnsi="Arial" w:cs="Arial"/>
          <w:sz w:val="22"/>
          <w:szCs w:val="22"/>
          <w:lang w:eastAsia="et-EE"/>
        </w:rPr>
        <w:t xml:space="preserve">Mõjuanalüüsi koostamiseks on kasutatud peamiselt Sotsiaalkindlustusameti, Statistikaameti, OECD ja </w:t>
      </w:r>
      <w:proofErr w:type="spellStart"/>
      <w:r w:rsidRPr="009259E6">
        <w:rPr>
          <w:rFonts w:ascii="Arial" w:hAnsi="Arial" w:cs="Arial"/>
          <w:sz w:val="22"/>
          <w:szCs w:val="22"/>
          <w:lang w:eastAsia="et-EE"/>
        </w:rPr>
        <w:t>Eurostati</w:t>
      </w:r>
      <w:proofErr w:type="spellEnd"/>
      <w:r w:rsidRPr="009259E6">
        <w:rPr>
          <w:rFonts w:ascii="Arial" w:hAnsi="Arial" w:cs="Arial"/>
          <w:sz w:val="22"/>
          <w:szCs w:val="22"/>
          <w:lang w:eastAsia="et-EE"/>
        </w:rPr>
        <w:t xml:space="preserve"> andmeid ning Rahandusministeeriumi pikaajalist majandusprognoosi.</w:t>
      </w:r>
    </w:p>
    <w:p w14:paraId="4888DAB1" w14:textId="77777777" w:rsidR="006774E3" w:rsidRPr="009259E6" w:rsidRDefault="006774E3" w:rsidP="007C6C64">
      <w:pPr>
        <w:jc w:val="both"/>
        <w:rPr>
          <w:rFonts w:ascii="Arial" w:hAnsi="Arial" w:cs="Arial"/>
          <w:b/>
          <w:bCs/>
          <w:sz w:val="22"/>
          <w:szCs w:val="22"/>
          <w:lang w:eastAsia="et-EE"/>
        </w:rPr>
      </w:pPr>
    </w:p>
    <w:p w14:paraId="453AA253" w14:textId="77777777" w:rsidR="006774E3" w:rsidRPr="009259E6" w:rsidRDefault="006774E3" w:rsidP="007C6C64">
      <w:pPr>
        <w:jc w:val="both"/>
        <w:rPr>
          <w:rFonts w:ascii="Arial" w:hAnsi="Arial" w:cs="Arial"/>
          <w:sz w:val="22"/>
          <w:szCs w:val="22"/>
        </w:rPr>
      </w:pPr>
      <w:r w:rsidRPr="009259E6">
        <w:rPr>
          <w:rFonts w:ascii="Arial" w:hAnsi="Arial" w:cs="Arial"/>
          <w:b/>
          <w:bCs/>
          <w:sz w:val="22"/>
          <w:szCs w:val="22"/>
          <w:lang w:eastAsia="et-EE"/>
        </w:rPr>
        <w:t>4.1. Sihtrühma suurus ja mõju avaldumise saged</w:t>
      </w:r>
      <w:r w:rsidRPr="009259E6">
        <w:rPr>
          <w:rFonts w:ascii="Arial" w:hAnsi="Arial" w:cs="Arial"/>
          <w:b/>
          <w:bCs/>
          <w:sz w:val="22"/>
          <w:szCs w:val="22"/>
        </w:rPr>
        <w:t>us</w:t>
      </w:r>
    </w:p>
    <w:p w14:paraId="757224D0" w14:textId="77777777" w:rsidR="006774E3" w:rsidRPr="009259E6" w:rsidRDefault="006774E3" w:rsidP="007C6C64">
      <w:pPr>
        <w:jc w:val="both"/>
        <w:rPr>
          <w:rFonts w:ascii="Arial" w:hAnsi="Arial" w:cs="Arial"/>
          <w:sz w:val="22"/>
          <w:szCs w:val="22"/>
        </w:rPr>
      </w:pPr>
    </w:p>
    <w:p w14:paraId="36FB3786" w14:textId="27E7C05D" w:rsidR="006774E3" w:rsidRPr="009259E6" w:rsidRDefault="006774E3" w:rsidP="007C6C64">
      <w:pPr>
        <w:jc w:val="both"/>
        <w:rPr>
          <w:rFonts w:ascii="Arial" w:hAnsi="Arial" w:cs="Arial"/>
          <w:sz w:val="22"/>
          <w:szCs w:val="22"/>
        </w:rPr>
      </w:pPr>
      <w:r w:rsidRPr="009259E6">
        <w:rPr>
          <w:rFonts w:ascii="Arial" w:hAnsi="Arial" w:cs="Arial"/>
          <w:sz w:val="22"/>
          <w:szCs w:val="22"/>
        </w:rPr>
        <w:t xml:space="preserve">01.01.2026 oli Eestis 331 000 pensionäri (sh 315 000 vanaduspensionäri). </w:t>
      </w:r>
      <w:r w:rsidR="001C74B9" w:rsidRPr="009259E6">
        <w:rPr>
          <w:rFonts w:ascii="Arial" w:hAnsi="Arial" w:cs="Arial"/>
          <w:sz w:val="22"/>
          <w:szCs w:val="22"/>
        </w:rPr>
        <w:t xml:space="preserve">Statistikaameti viimase rahvastiku prognoosi põhistsenaariumi kohaselt väheneb </w:t>
      </w:r>
      <w:r w:rsidR="001C74B9">
        <w:rPr>
          <w:rFonts w:ascii="Arial" w:hAnsi="Arial" w:cs="Arial"/>
          <w:sz w:val="22"/>
          <w:szCs w:val="22"/>
        </w:rPr>
        <w:t>18–64-aastaste</w:t>
      </w:r>
      <w:r w:rsidR="001C74B9" w:rsidRPr="009259E6">
        <w:rPr>
          <w:rFonts w:ascii="Arial" w:hAnsi="Arial" w:cs="Arial"/>
          <w:sz w:val="22"/>
          <w:szCs w:val="22"/>
        </w:rPr>
        <w:t xml:space="preserve"> </w:t>
      </w:r>
      <w:r w:rsidR="001C74B9">
        <w:rPr>
          <w:rFonts w:ascii="Arial" w:hAnsi="Arial" w:cs="Arial"/>
          <w:sz w:val="22"/>
          <w:szCs w:val="22"/>
        </w:rPr>
        <w:t>ning</w:t>
      </w:r>
      <w:r w:rsidR="001C74B9" w:rsidRPr="009259E6">
        <w:rPr>
          <w:rFonts w:ascii="Arial" w:hAnsi="Arial" w:cs="Arial"/>
          <w:sz w:val="22"/>
          <w:szCs w:val="22"/>
        </w:rPr>
        <w:t xml:space="preserve"> </w:t>
      </w:r>
      <w:r w:rsidR="001C74B9">
        <w:rPr>
          <w:rFonts w:ascii="Arial" w:hAnsi="Arial" w:cs="Arial"/>
          <w:sz w:val="22"/>
          <w:szCs w:val="22"/>
        </w:rPr>
        <w:t>65-aastaste ja vanemate</w:t>
      </w:r>
      <w:r w:rsidR="001C74B9" w:rsidRPr="009259E6">
        <w:rPr>
          <w:rFonts w:ascii="Arial" w:hAnsi="Arial" w:cs="Arial"/>
          <w:sz w:val="22"/>
          <w:szCs w:val="22"/>
        </w:rPr>
        <w:t xml:space="preserve"> arvu suhe 2080. aastal </w:t>
      </w:r>
      <w:r w:rsidRPr="009259E6">
        <w:rPr>
          <w:rFonts w:ascii="Arial" w:hAnsi="Arial" w:cs="Arial"/>
          <w:sz w:val="22"/>
          <w:szCs w:val="22"/>
        </w:rPr>
        <w:t>1,63-ni</w:t>
      </w:r>
      <w:r w:rsidRPr="009259E6">
        <w:rPr>
          <w:rStyle w:val="Allmrkuseviide"/>
          <w:rFonts w:ascii="Arial" w:hAnsi="Arial" w:cs="Arial"/>
          <w:sz w:val="22"/>
          <w:szCs w:val="22"/>
        </w:rPr>
        <w:footnoteReference w:id="1"/>
      </w:r>
      <w:r w:rsidRPr="009259E6">
        <w:rPr>
          <w:rFonts w:ascii="Arial" w:hAnsi="Arial" w:cs="Arial"/>
          <w:sz w:val="22"/>
          <w:szCs w:val="22"/>
        </w:rPr>
        <w:t xml:space="preserve"> (2025. aastal 2,82</w:t>
      </w:r>
      <w:r w:rsidRPr="009259E6">
        <w:rPr>
          <w:rStyle w:val="Allmrkuseviide"/>
          <w:rFonts w:ascii="Arial" w:hAnsi="Arial" w:cs="Arial"/>
          <w:sz w:val="22"/>
          <w:szCs w:val="22"/>
        </w:rPr>
        <w:footnoteReference w:id="2"/>
      </w:r>
      <w:r w:rsidRPr="009259E6">
        <w:rPr>
          <w:rFonts w:ascii="Arial" w:hAnsi="Arial" w:cs="Arial"/>
          <w:sz w:val="22"/>
          <w:szCs w:val="22"/>
        </w:rPr>
        <w:t>).</w:t>
      </w:r>
    </w:p>
    <w:p w14:paraId="5E8DE22D" w14:textId="77777777" w:rsidR="006774E3" w:rsidRPr="009259E6" w:rsidRDefault="006774E3" w:rsidP="007C6C64">
      <w:pPr>
        <w:jc w:val="both"/>
        <w:rPr>
          <w:rFonts w:ascii="Arial" w:hAnsi="Arial" w:cs="Arial"/>
          <w:sz w:val="22"/>
          <w:szCs w:val="22"/>
        </w:rPr>
      </w:pPr>
    </w:p>
    <w:p w14:paraId="042AB1AB"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Kaudselt puudutab muudatus kõiki tulevikus pensionile jäävaid tööealisi inimesi. Statistikaameti andmetel oli 2026. aasta alguses 1 020 000 tööealist inimest (15–74-aastased), mis moodustas kogu elanikkonnast 75% (sh oli 18</w:t>
      </w:r>
      <w:r w:rsidRPr="009259E6">
        <w:rPr>
          <w:rFonts w:ascii="Arial" w:eastAsia="Arial" w:hAnsi="Arial" w:cs="Arial"/>
          <w:sz w:val="22"/>
          <w:szCs w:val="22"/>
        </w:rPr>
        <w:t>–64-aastaseid 815 319 ehk 59,9%</w:t>
      </w:r>
      <w:r w:rsidRPr="009259E6">
        <w:rPr>
          <w:rFonts w:ascii="Arial" w:hAnsi="Arial" w:cs="Arial"/>
          <w:sz w:val="22"/>
          <w:szCs w:val="22"/>
        </w:rPr>
        <w:t xml:space="preserve">). </w:t>
      </w:r>
      <w:proofErr w:type="spellStart"/>
      <w:r w:rsidRPr="009259E6">
        <w:rPr>
          <w:rFonts w:ascii="Arial" w:hAnsi="Arial" w:cs="Arial"/>
          <w:sz w:val="22"/>
          <w:szCs w:val="22"/>
        </w:rPr>
        <w:t>Eurostati</w:t>
      </w:r>
      <w:proofErr w:type="spellEnd"/>
      <w:r w:rsidRPr="009259E6">
        <w:rPr>
          <w:rFonts w:ascii="Arial" w:hAnsi="Arial" w:cs="Arial"/>
          <w:sz w:val="22"/>
          <w:szCs w:val="22"/>
        </w:rPr>
        <w:t xml:space="preserve"> prognooside kohaselt tööealiste arv ja osakaal aja jooksul väheneb ning pensioniealiste osakaal suureneb</w:t>
      </w:r>
      <w:r w:rsidRPr="009259E6">
        <w:rPr>
          <w:rStyle w:val="Allmrkuseviide"/>
          <w:rFonts w:ascii="Arial" w:hAnsi="Arial" w:cs="Arial"/>
          <w:sz w:val="22"/>
          <w:szCs w:val="22"/>
        </w:rPr>
        <w:footnoteReference w:id="3"/>
      </w:r>
      <w:r w:rsidRPr="009259E6">
        <w:rPr>
          <w:rFonts w:ascii="Arial" w:hAnsi="Arial" w:cs="Arial"/>
          <w:sz w:val="22"/>
          <w:szCs w:val="22"/>
        </w:rPr>
        <w:t>. Seetõttu mõjutab eelnõus esitatud muudatus suurt osa Eesti elanikkonnast. Eelnõus esitatud muudatuse mõju avaldumise sagedus on hinnanguliselt keskmine, kuna vanemaealised puutuvad muudatusega kokku reeglipäraselt, st pensioniea saabumisel, kuid mitte iga päev.</w:t>
      </w:r>
    </w:p>
    <w:p w14:paraId="74EE8E03" w14:textId="77777777" w:rsidR="006774E3" w:rsidRPr="009259E6" w:rsidRDefault="006774E3" w:rsidP="007C6C64">
      <w:pPr>
        <w:jc w:val="both"/>
        <w:rPr>
          <w:rFonts w:ascii="Arial" w:hAnsi="Arial" w:cs="Arial"/>
          <w:sz w:val="22"/>
          <w:szCs w:val="22"/>
        </w:rPr>
      </w:pPr>
    </w:p>
    <w:p w14:paraId="7ECAFF53" w14:textId="77777777" w:rsidR="006774E3" w:rsidRPr="009259E6" w:rsidRDefault="006774E3" w:rsidP="007C6C64">
      <w:pPr>
        <w:rPr>
          <w:rFonts w:ascii="Arial" w:hAnsi="Arial" w:cs="Arial"/>
          <w:b/>
          <w:bCs/>
          <w:sz w:val="22"/>
          <w:szCs w:val="22"/>
        </w:rPr>
      </w:pPr>
      <w:r w:rsidRPr="009259E6">
        <w:rPr>
          <w:rFonts w:ascii="Arial" w:hAnsi="Arial" w:cs="Arial"/>
          <w:b/>
          <w:bCs/>
          <w:sz w:val="22"/>
          <w:szCs w:val="22"/>
        </w:rPr>
        <w:t>4.2. Sotsiaalne, sealhulgas demograafiline mõju</w:t>
      </w:r>
    </w:p>
    <w:p w14:paraId="4CB20545" w14:textId="77777777" w:rsidR="006774E3" w:rsidRPr="009259E6" w:rsidRDefault="006774E3" w:rsidP="007C6C64">
      <w:pPr>
        <w:rPr>
          <w:rFonts w:ascii="Arial" w:hAnsi="Arial" w:cs="Arial"/>
          <w:b/>
          <w:bCs/>
          <w:sz w:val="22"/>
          <w:szCs w:val="22"/>
        </w:rPr>
      </w:pPr>
    </w:p>
    <w:p w14:paraId="6480F41E"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 xml:space="preserve">Muudatuse peamine sotsiaalne mõju seisneb selles, et soodustab meeste ja naiste tööturul osalemist ning seeläbi ka tööjõupakkumise kasvu. Kaudselt avaldab muudatus mõju vanemaealiste majanduslikule toimetulekule, sest kauem töötamine aitab suurendada sissetulekuid. Eesti elanikkond vananeb. Samal ajal on inimeste eluiga pikenenud ja inimesed elavad kauem tervena. </w:t>
      </w:r>
      <w:proofErr w:type="spellStart"/>
      <w:r w:rsidRPr="009259E6">
        <w:rPr>
          <w:rFonts w:ascii="Arial" w:hAnsi="Arial" w:cs="Arial"/>
          <w:sz w:val="22"/>
          <w:szCs w:val="22"/>
        </w:rPr>
        <w:t>Eurostati</w:t>
      </w:r>
      <w:proofErr w:type="spellEnd"/>
      <w:r w:rsidRPr="009259E6">
        <w:rPr>
          <w:rFonts w:ascii="Arial" w:hAnsi="Arial" w:cs="Arial"/>
          <w:sz w:val="22"/>
          <w:szCs w:val="22"/>
        </w:rPr>
        <w:t xml:space="preserve"> andmetel oli meestel 65-aastaste keskmine eeldatav</w:t>
      </w:r>
      <w:r w:rsidRPr="009259E6" w:rsidDel="007F6243">
        <w:rPr>
          <w:rFonts w:ascii="Arial" w:hAnsi="Arial" w:cs="Arial"/>
          <w:sz w:val="22"/>
          <w:szCs w:val="22"/>
        </w:rPr>
        <w:t xml:space="preserve"> </w:t>
      </w:r>
      <w:r w:rsidRPr="009259E6">
        <w:rPr>
          <w:rFonts w:ascii="Arial" w:hAnsi="Arial" w:cs="Arial"/>
          <w:sz w:val="22"/>
          <w:szCs w:val="22"/>
        </w:rPr>
        <w:t>eluiga 2025. aastal 16,3 aastat, naistel 21,4 aastat ja prognoosi järgi 2080. aastal on meestel 22,4 ja naistel 26,4</w:t>
      </w:r>
      <w:r w:rsidRPr="009259E6">
        <w:rPr>
          <w:rStyle w:val="Allmrkuseviide"/>
          <w:rFonts w:ascii="Arial" w:hAnsi="Arial" w:cs="Arial"/>
          <w:sz w:val="22"/>
          <w:szCs w:val="22"/>
        </w:rPr>
        <w:footnoteReference w:id="4"/>
      </w:r>
      <w:r w:rsidRPr="009259E6">
        <w:rPr>
          <w:rFonts w:ascii="Arial" w:hAnsi="Arial" w:cs="Arial"/>
          <w:sz w:val="22"/>
          <w:szCs w:val="22"/>
        </w:rPr>
        <w:t>.</w:t>
      </w:r>
    </w:p>
    <w:p w14:paraId="42220AC0" w14:textId="77777777" w:rsidR="006774E3" w:rsidRPr="009259E6" w:rsidRDefault="006774E3" w:rsidP="007C6C64">
      <w:pPr>
        <w:jc w:val="both"/>
        <w:rPr>
          <w:rFonts w:ascii="Arial" w:hAnsi="Arial" w:cs="Arial"/>
          <w:sz w:val="22"/>
          <w:szCs w:val="22"/>
        </w:rPr>
      </w:pPr>
    </w:p>
    <w:p w14:paraId="2F033826"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Tulenevalt rahvastiku üldisest vananemisest pööratakse vanemaealiste (55–64-aastased) tööturule toomisele ja nende tööhõive suurendamisele erilist tähelepanu kõikides Euroopa Liidu riikides. Kuna üle 65-aastaste inimeste osatähtsus kogurahvastikus kasvab</w:t>
      </w:r>
      <w:r w:rsidRPr="009259E6">
        <w:rPr>
          <w:rStyle w:val="Allmrkuseviide"/>
          <w:rFonts w:ascii="Arial" w:hAnsi="Arial" w:cs="Arial"/>
          <w:sz w:val="22"/>
          <w:szCs w:val="22"/>
        </w:rPr>
        <w:footnoteReference w:id="5"/>
      </w:r>
      <w:r w:rsidRPr="009259E6">
        <w:rPr>
          <w:rFonts w:ascii="Arial" w:hAnsi="Arial" w:cs="Arial"/>
          <w:sz w:val="22"/>
          <w:szCs w:val="22"/>
        </w:rPr>
        <w:t xml:space="preserve">, on oluline, et inimesed säilitaksid oma töövõime ja soovi tööd teha ka vanemas eas ning panustaksid seeläbi tööjõu hulga suurendamisse. </w:t>
      </w:r>
      <w:r w:rsidRPr="009259E6">
        <w:rPr>
          <w:rFonts w:ascii="Arial" w:eastAsia="Arial" w:hAnsi="Arial" w:cs="Arial"/>
          <w:sz w:val="22"/>
          <w:szCs w:val="22"/>
        </w:rPr>
        <w:t>2025. aastal oli Statistikaameti andmetel Eestis 60</w:t>
      </w:r>
      <w:r w:rsidRPr="009259E6">
        <w:rPr>
          <w:rFonts w:ascii="Arial" w:hAnsi="Arial" w:cs="Arial"/>
          <w:sz w:val="22"/>
          <w:szCs w:val="22"/>
        </w:rPr>
        <w:t>–</w:t>
      </w:r>
      <w:r w:rsidRPr="009259E6">
        <w:rPr>
          <w:rFonts w:ascii="Arial" w:eastAsia="Arial" w:hAnsi="Arial" w:cs="Arial"/>
          <w:sz w:val="22"/>
          <w:szCs w:val="22"/>
        </w:rPr>
        <w:t>64-aastaste tööhõive määr 71,7%. Meeste ja naiste võrdluses on meeste tööhõive määr mõnevõrra madalam (meestel 68,6% ja naistel 74,3%) (joonis 1).</w:t>
      </w:r>
    </w:p>
    <w:p w14:paraId="298DDFD3" w14:textId="77777777" w:rsidR="006774E3" w:rsidRPr="009259E6" w:rsidRDefault="006774E3" w:rsidP="007C6C64">
      <w:pPr>
        <w:jc w:val="both"/>
        <w:rPr>
          <w:rFonts w:ascii="Arial" w:eastAsia="Arial" w:hAnsi="Arial" w:cs="Arial"/>
          <w:sz w:val="22"/>
          <w:szCs w:val="22"/>
        </w:rPr>
      </w:pPr>
    </w:p>
    <w:p w14:paraId="42D06936" w14:textId="77777777" w:rsidR="006774E3" w:rsidRPr="009259E6" w:rsidRDefault="006774E3" w:rsidP="007C6C64">
      <w:pPr>
        <w:jc w:val="both"/>
        <w:rPr>
          <w:rFonts w:ascii="Arial" w:eastAsia="Arial" w:hAnsi="Arial" w:cs="Arial"/>
          <w:sz w:val="22"/>
          <w:szCs w:val="22"/>
        </w:rPr>
      </w:pPr>
    </w:p>
    <w:p w14:paraId="1AEAB208" w14:textId="77777777" w:rsidR="001A602C" w:rsidRPr="009259E6" w:rsidRDefault="001A602C" w:rsidP="007C6C64">
      <w:pPr>
        <w:jc w:val="both"/>
        <w:rPr>
          <w:rFonts w:ascii="Arial" w:eastAsia="Arial" w:hAnsi="Arial" w:cs="Arial"/>
          <w:sz w:val="22"/>
          <w:szCs w:val="22"/>
        </w:rPr>
      </w:pPr>
    </w:p>
    <w:p w14:paraId="03F288AD" w14:textId="77777777" w:rsidR="001A602C" w:rsidRPr="009259E6" w:rsidRDefault="001A602C" w:rsidP="007C6C64">
      <w:pPr>
        <w:jc w:val="both"/>
        <w:rPr>
          <w:rFonts w:ascii="Arial" w:eastAsia="Arial" w:hAnsi="Arial" w:cs="Arial"/>
          <w:sz w:val="22"/>
          <w:szCs w:val="22"/>
        </w:rPr>
      </w:pPr>
    </w:p>
    <w:p w14:paraId="50610200" w14:textId="77777777" w:rsidR="006774E3" w:rsidRPr="009259E6" w:rsidRDefault="006774E3" w:rsidP="007C6C64">
      <w:pPr>
        <w:jc w:val="both"/>
        <w:rPr>
          <w:rFonts w:ascii="Arial" w:eastAsia="Arial" w:hAnsi="Arial" w:cs="Arial"/>
          <w:sz w:val="22"/>
          <w:szCs w:val="22"/>
        </w:rPr>
      </w:pPr>
      <w:r w:rsidRPr="009259E6">
        <w:rPr>
          <w:rFonts w:ascii="Arial" w:eastAsia="Arial" w:hAnsi="Arial" w:cs="Arial"/>
          <w:sz w:val="22"/>
          <w:szCs w:val="22"/>
        </w:rPr>
        <w:lastRenderedPageBreak/>
        <w:t>Joonis 1. Tööhõive määr vanuserühmade ja soo järgi 2025.</w:t>
      </w:r>
      <w:r w:rsidRPr="009259E6">
        <w:rPr>
          <w:rFonts w:ascii="Arial" w:eastAsia="Arial" w:hAnsi="Arial" w:cs="Arial"/>
          <w:color w:val="0070C0"/>
          <w:sz w:val="22"/>
          <w:szCs w:val="22"/>
        </w:rPr>
        <w:t xml:space="preserve"> </w:t>
      </w:r>
      <w:r w:rsidRPr="009259E6">
        <w:rPr>
          <w:rFonts w:ascii="Arial" w:eastAsia="Arial" w:hAnsi="Arial" w:cs="Arial"/>
          <w:sz w:val="22"/>
          <w:szCs w:val="22"/>
        </w:rPr>
        <w:t>aastal (%)</w:t>
      </w:r>
    </w:p>
    <w:p w14:paraId="34969B7C" w14:textId="77777777" w:rsidR="006774E3" w:rsidRPr="009259E6" w:rsidRDefault="006774E3" w:rsidP="007C6C64">
      <w:pPr>
        <w:jc w:val="both"/>
        <w:rPr>
          <w:rFonts w:ascii="Arial" w:eastAsia="Arial" w:hAnsi="Arial" w:cs="Arial"/>
          <w:sz w:val="22"/>
          <w:szCs w:val="22"/>
        </w:rPr>
      </w:pPr>
    </w:p>
    <w:p w14:paraId="10D7A397" w14:textId="77777777" w:rsidR="006774E3" w:rsidRPr="009259E6" w:rsidRDefault="006774E3" w:rsidP="007C6C64">
      <w:pPr>
        <w:jc w:val="both"/>
        <w:rPr>
          <w:rFonts w:ascii="Arial" w:eastAsia="Arial" w:hAnsi="Arial" w:cs="Arial"/>
          <w:sz w:val="22"/>
          <w:szCs w:val="22"/>
        </w:rPr>
      </w:pPr>
      <w:r w:rsidRPr="009259E6">
        <w:rPr>
          <w:rFonts w:ascii="Arial" w:hAnsi="Arial" w:cs="Arial"/>
          <w:noProof/>
          <w:sz w:val="22"/>
          <w:szCs w:val="22"/>
          <w14:ligatures w14:val="standardContextual"/>
        </w:rPr>
        <w:drawing>
          <wp:inline distT="0" distB="0" distL="0" distR="0" wp14:anchorId="042478A8" wp14:editId="0635657B">
            <wp:extent cx="5760720" cy="2857500"/>
            <wp:effectExtent l="0" t="0" r="11430" b="0"/>
            <wp:docPr id="1968323070" name="Diagramm 1">
              <a:extLst xmlns:a="http://schemas.openxmlformats.org/drawingml/2006/main">
                <a:ext uri="{FF2B5EF4-FFF2-40B4-BE49-F238E27FC236}">
                  <a16:creationId xmlns:a16="http://schemas.microsoft.com/office/drawing/2014/main" id="{A0BB06D4-8C8D-8DEF-6162-D4C7E01EB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AB8C88" w14:textId="77777777" w:rsidR="006774E3" w:rsidRPr="009259E6" w:rsidRDefault="006774E3" w:rsidP="007C6C64">
      <w:pPr>
        <w:jc w:val="both"/>
        <w:rPr>
          <w:rFonts w:ascii="Arial" w:hAnsi="Arial" w:cs="Arial"/>
          <w:sz w:val="22"/>
          <w:szCs w:val="22"/>
        </w:rPr>
      </w:pPr>
      <w:r w:rsidRPr="009259E6">
        <w:rPr>
          <w:rFonts w:ascii="Arial" w:eastAsia="Arial" w:hAnsi="Arial" w:cs="Arial"/>
          <w:sz w:val="22"/>
          <w:szCs w:val="22"/>
        </w:rPr>
        <w:t>Allikas: Statistikaamet</w:t>
      </w:r>
    </w:p>
    <w:p w14:paraId="3F3B0B7B" w14:textId="77777777" w:rsidR="006774E3" w:rsidRPr="009259E6" w:rsidRDefault="006774E3" w:rsidP="007C6C64">
      <w:pPr>
        <w:jc w:val="both"/>
        <w:rPr>
          <w:rFonts w:ascii="Arial" w:hAnsi="Arial" w:cs="Arial"/>
          <w:sz w:val="22"/>
          <w:szCs w:val="22"/>
        </w:rPr>
      </w:pPr>
    </w:p>
    <w:p w14:paraId="573451DD" w14:textId="77777777" w:rsidR="006774E3" w:rsidRPr="009259E6" w:rsidRDefault="006774E3" w:rsidP="007C6C64">
      <w:pPr>
        <w:jc w:val="both"/>
        <w:rPr>
          <w:rFonts w:ascii="Arial" w:hAnsi="Arial" w:cs="Arial"/>
          <w:sz w:val="22"/>
          <w:szCs w:val="22"/>
        </w:rPr>
      </w:pPr>
    </w:p>
    <w:p w14:paraId="0D355F82" w14:textId="77777777" w:rsidR="006774E3" w:rsidRPr="009259E6" w:rsidRDefault="006774E3" w:rsidP="007C6C64">
      <w:pPr>
        <w:jc w:val="both"/>
        <w:rPr>
          <w:rFonts w:ascii="Arial" w:hAnsi="Arial" w:cs="Arial"/>
          <w:color w:val="FF0000"/>
          <w:sz w:val="22"/>
          <w:szCs w:val="22"/>
        </w:rPr>
      </w:pPr>
      <w:r w:rsidRPr="009259E6">
        <w:rPr>
          <w:rFonts w:ascii="Arial" w:hAnsi="Arial" w:cs="Arial"/>
          <w:sz w:val="22"/>
          <w:szCs w:val="22"/>
        </w:rPr>
        <w:t>Vanemaealiste tööhõive määr on Eestis võrreldes Euroopa Liidu keskmisega küll kõrgem, ent vanuse kasvades langeb see kiiresti hoolimata sellest, et valmisolek vanaduspensionieas töötamist jätkata on olemas. OECD andmetel oli 65–69-aastaste tööhõive määr Eestis 2024. aastal 39,1%, samas kui Euroopa Liidu keskmine oli 29,6%, mis viitab vanemaealiste suhteliselt tugevale tööturuseotusele ka pärast tavapärast pensioniiga</w:t>
      </w:r>
      <w:r w:rsidRPr="009259E6">
        <w:rPr>
          <w:rStyle w:val="Allmrkuseviide"/>
          <w:rFonts w:ascii="Arial" w:hAnsi="Arial" w:cs="Arial"/>
          <w:sz w:val="22"/>
          <w:szCs w:val="22"/>
        </w:rPr>
        <w:footnoteReference w:id="6"/>
      </w:r>
      <w:r w:rsidRPr="009259E6">
        <w:rPr>
          <w:rFonts w:ascii="Arial" w:hAnsi="Arial" w:cs="Arial"/>
          <w:sz w:val="22"/>
          <w:szCs w:val="22"/>
        </w:rPr>
        <w:t xml:space="preserve">. </w:t>
      </w:r>
      <w:r w:rsidRPr="009259E6" w:rsidDel="00831E9B">
        <w:rPr>
          <w:rFonts w:ascii="Arial" w:hAnsi="Arial" w:cs="Arial"/>
          <w:sz w:val="22"/>
          <w:szCs w:val="22"/>
        </w:rPr>
        <w:t>Vanema</w:t>
      </w:r>
      <w:r w:rsidRPr="009259E6">
        <w:rPr>
          <w:rFonts w:ascii="Arial" w:hAnsi="Arial" w:cs="Arial"/>
          <w:sz w:val="22"/>
          <w:szCs w:val="22"/>
        </w:rPr>
        <w:t>tel</w:t>
      </w:r>
      <w:r w:rsidRPr="009259E6" w:rsidDel="00831E9B">
        <w:rPr>
          <w:rFonts w:ascii="Arial" w:hAnsi="Arial" w:cs="Arial"/>
          <w:sz w:val="22"/>
          <w:szCs w:val="22"/>
        </w:rPr>
        <w:t xml:space="preserve"> inimes</w:t>
      </w:r>
      <w:r w:rsidRPr="009259E6">
        <w:rPr>
          <w:rFonts w:ascii="Arial" w:hAnsi="Arial" w:cs="Arial"/>
          <w:sz w:val="22"/>
          <w:szCs w:val="22"/>
        </w:rPr>
        <w:t>tel</w:t>
      </w:r>
      <w:r w:rsidRPr="009259E6" w:rsidDel="00831E9B">
        <w:rPr>
          <w:rFonts w:ascii="Arial" w:hAnsi="Arial" w:cs="Arial"/>
          <w:sz w:val="22"/>
          <w:szCs w:val="22"/>
        </w:rPr>
        <w:t xml:space="preserve"> on tööealise elanikkonnaga võrreldes </w:t>
      </w:r>
      <w:r w:rsidRPr="009259E6">
        <w:rPr>
          <w:rFonts w:ascii="Arial" w:hAnsi="Arial" w:cs="Arial"/>
          <w:sz w:val="22"/>
          <w:szCs w:val="22"/>
        </w:rPr>
        <w:t>madalam sissetulek, sest nende peamine sissetulek on pension. Statistikaameti andmetel oli 2025. aastal keskmine vanaduspension 804 eurot kuus, keskmine brutokuupalk aga 2092 eurot. Eesti eakate vaesusrisk on ka üks Euroopa Liidu suuremaid. 2024. aastal elas Eestis suhtelises vaesuses 33,7% eakatest (65-aastased ja vanemad) ja 62,3% üksi elavatest eakatest</w:t>
      </w:r>
      <w:r w:rsidRPr="009259E6">
        <w:rPr>
          <w:rStyle w:val="Allmrkuseviide"/>
          <w:rFonts w:ascii="Arial" w:hAnsi="Arial" w:cs="Arial"/>
          <w:sz w:val="22"/>
          <w:szCs w:val="22"/>
        </w:rPr>
        <w:footnoteReference w:id="7"/>
      </w:r>
      <w:r w:rsidRPr="009259E6">
        <w:rPr>
          <w:rFonts w:ascii="Arial" w:hAnsi="Arial" w:cs="Arial"/>
          <w:sz w:val="22"/>
          <w:szCs w:val="22"/>
        </w:rPr>
        <w:t xml:space="preserve">. </w:t>
      </w:r>
      <w:r w:rsidRPr="009259E6">
        <w:rPr>
          <w:rFonts w:ascii="Arial" w:eastAsia="Arial" w:hAnsi="Arial" w:cs="Arial"/>
          <w:sz w:val="22"/>
          <w:szCs w:val="22"/>
        </w:rPr>
        <w:t>OECD uuringu järgi on Eestis pensioni neto asendusmäär</w:t>
      </w:r>
      <w:r w:rsidRPr="009259E6">
        <w:rPr>
          <w:rStyle w:val="Allmrkuseviide"/>
          <w:rFonts w:ascii="Arial" w:eastAsia="Arial" w:hAnsi="Arial" w:cs="Arial"/>
          <w:sz w:val="22"/>
          <w:szCs w:val="22"/>
        </w:rPr>
        <w:footnoteReference w:id="8"/>
      </w:r>
      <w:r w:rsidRPr="009259E6">
        <w:rPr>
          <w:rFonts w:ascii="Arial" w:eastAsia="Arial" w:hAnsi="Arial" w:cs="Arial"/>
          <w:sz w:val="22"/>
          <w:szCs w:val="22"/>
        </w:rPr>
        <w:t xml:space="preserve"> 37,8 protsenti ehk üks madalaimaid (OECD keskmine on 68,3 protsenti</w:t>
      </w:r>
      <w:r w:rsidRPr="009259E6">
        <w:rPr>
          <w:rStyle w:val="Allmrkuseviide"/>
          <w:rFonts w:ascii="Arial" w:eastAsia="Arial" w:hAnsi="Arial" w:cs="Arial"/>
          <w:sz w:val="22"/>
          <w:szCs w:val="22"/>
        </w:rPr>
        <w:footnoteReference w:id="9"/>
      </w:r>
      <w:r w:rsidRPr="009259E6">
        <w:rPr>
          <w:rFonts w:ascii="Arial" w:eastAsia="Arial" w:hAnsi="Arial" w:cs="Arial"/>
          <w:sz w:val="22"/>
          <w:szCs w:val="22"/>
        </w:rPr>
        <w:t>). See osutab, et pensionisüsteemi võime tagada pensionile jäämisel varasema elatustasemega võrreldav sissetulek on pigem tagasihoidlik ning pensioni adekvaatsus on suurel määral seotud tööea pikkuse ja kogutud pensioniõigustega.</w:t>
      </w:r>
    </w:p>
    <w:p w14:paraId="539DB7FF" w14:textId="77777777" w:rsidR="006774E3" w:rsidRPr="009259E6" w:rsidRDefault="006774E3" w:rsidP="007C6C64">
      <w:pPr>
        <w:jc w:val="both"/>
        <w:rPr>
          <w:rFonts w:ascii="Arial" w:eastAsia="Arial" w:hAnsi="Arial" w:cs="Arial"/>
          <w:sz w:val="22"/>
          <w:szCs w:val="22"/>
        </w:rPr>
      </w:pPr>
    </w:p>
    <w:p w14:paraId="64A88D32" w14:textId="05D8ACBC" w:rsidR="006774E3" w:rsidRPr="009259E6" w:rsidRDefault="006774E3" w:rsidP="007C6C64">
      <w:pPr>
        <w:jc w:val="both"/>
        <w:rPr>
          <w:rFonts w:ascii="Arial" w:eastAsia="Arial" w:hAnsi="Arial" w:cs="Arial"/>
          <w:sz w:val="22"/>
          <w:szCs w:val="22"/>
        </w:rPr>
      </w:pPr>
      <w:bookmarkStart w:id="0" w:name="_Hlk212644508"/>
      <w:r w:rsidRPr="009259E6">
        <w:rPr>
          <w:rFonts w:ascii="Arial" w:eastAsia="Arial" w:hAnsi="Arial" w:cs="Arial"/>
          <w:sz w:val="22"/>
          <w:szCs w:val="22"/>
        </w:rPr>
        <w:t xml:space="preserve">Pensioniea tõstmine aitab mõnevõrra vanemaealiste majanduslikku toimetulekut parandada, sest kauem töötamisega suurenevad kindlustusosakud, mis loob pensionisaajale eelduse saada suuremat pensioni. </w:t>
      </w:r>
      <w:bookmarkEnd w:id="0"/>
      <w:r w:rsidRPr="009259E6">
        <w:rPr>
          <w:rFonts w:ascii="Arial" w:eastAsia="Arial" w:hAnsi="Arial" w:cs="Arial"/>
          <w:sz w:val="22"/>
          <w:szCs w:val="22"/>
        </w:rPr>
        <w:t xml:space="preserve">Samuti pikeneb II samba kogumisperiood. Kuna 2029. aasta muudatus tähendab vaid ühekordset ühekuulist pensioniea tõusu, on selle vahetu mõju üksikisiku pensionitasemele väike, kuid pika vaate puhul on oluline mehhanismi järjepidevus: väikeste sammudena toimuv pensioniea kohandamine võimaldab süsteemil reageerida eluea pikenemisele ilma järskude šokkideta tööturule või pensionisaajatele. </w:t>
      </w:r>
    </w:p>
    <w:p w14:paraId="313DB605" w14:textId="77777777" w:rsidR="006774E3" w:rsidRPr="009259E6" w:rsidRDefault="006774E3" w:rsidP="007C6C64">
      <w:pPr>
        <w:jc w:val="both"/>
        <w:rPr>
          <w:rFonts w:ascii="Arial" w:eastAsia="Arial" w:hAnsi="Arial" w:cs="Arial"/>
          <w:sz w:val="22"/>
          <w:szCs w:val="22"/>
        </w:rPr>
      </w:pPr>
    </w:p>
    <w:p w14:paraId="277CA526" w14:textId="77777777" w:rsidR="006774E3" w:rsidRPr="009259E6" w:rsidRDefault="006774E3" w:rsidP="007C6C64">
      <w:pPr>
        <w:jc w:val="both"/>
        <w:rPr>
          <w:rFonts w:ascii="Arial" w:hAnsi="Arial" w:cs="Arial"/>
          <w:sz w:val="22"/>
          <w:szCs w:val="22"/>
        </w:rPr>
      </w:pPr>
      <w:r w:rsidRPr="009259E6">
        <w:rPr>
          <w:rFonts w:ascii="Arial" w:eastAsia="Arial" w:hAnsi="Arial" w:cs="Arial"/>
          <w:sz w:val="22"/>
          <w:szCs w:val="22"/>
        </w:rPr>
        <w:lastRenderedPageBreak/>
        <w:t xml:space="preserve">Tööealise elanikkonna vähenemisest tuleneva tööjõupuuduse leevendamisele aitab kaasa ka pensioniea tõstmine, mis omakorda parandab sotsiaalkaitsesüsteemi jätkusuutlikkust. Eesti sotsiaalkaitsesüsteemi iseloomustab sotsiaalkaitsekulude madal osakaal. </w:t>
      </w:r>
      <w:proofErr w:type="spellStart"/>
      <w:r w:rsidRPr="009259E6">
        <w:rPr>
          <w:rFonts w:ascii="Arial" w:eastAsia="Arial" w:hAnsi="Arial" w:cs="Arial"/>
          <w:sz w:val="22"/>
          <w:szCs w:val="22"/>
        </w:rPr>
        <w:t>Eurostati</w:t>
      </w:r>
      <w:proofErr w:type="spellEnd"/>
      <w:r w:rsidRPr="009259E6">
        <w:rPr>
          <w:rFonts w:ascii="Arial" w:eastAsia="Arial" w:hAnsi="Arial" w:cs="Arial"/>
          <w:sz w:val="22"/>
          <w:szCs w:val="22"/>
        </w:rPr>
        <w:t xml:space="preserve"> andmetel moodustasid Eesti sotsiaalkaitsekulud 17,3% SKT-st 2023. aastal võrreldes EL-i 27,8%-</w:t>
      </w:r>
      <w:proofErr w:type="spellStart"/>
      <w:r w:rsidRPr="009259E6">
        <w:rPr>
          <w:rFonts w:ascii="Arial" w:eastAsia="Arial" w:hAnsi="Arial" w:cs="Arial"/>
          <w:sz w:val="22"/>
          <w:szCs w:val="22"/>
        </w:rPr>
        <w:t>ga</w:t>
      </w:r>
      <w:proofErr w:type="spellEnd"/>
      <w:r w:rsidRPr="009259E6">
        <w:rPr>
          <w:rFonts w:ascii="Arial" w:eastAsia="Arial" w:hAnsi="Arial" w:cs="Arial"/>
          <w:sz w:val="22"/>
          <w:szCs w:val="22"/>
        </w:rPr>
        <w:t xml:space="preserve"> (joonis 2). </w:t>
      </w:r>
    </w:p>
    <w:p w14:paraId="73D879A5" w14:textId="77777777" w:rsidR="006774E3" w:rsidRPr="009259E6" w:rsidRDefault="006774E3" w:rsidP="007C6C64">
      <w:pPr>
        <w:jc w:val="both"/>
        <w:rPr>
          <w:rFonts w:ascii="Arial" w:hAnsi="Arial" w:cs="Arial"/>
          <w:sz w:val="22"/>
          <w:szCs w:val="22"/>
        </w:rPr>
      </w:pPr>
    </w:p>
    <w:p w14:paraId="52BF9CC9" w14:textId="77777777" w:rsidR="006774E3" w:rsidRPr="009259E6" w:rsidRDefault="006774E3" w:rsidP="007C6C64">
      <w:pPr>
        <w:jc w:val="both"/>
        <w:rPr>
          <w:rFonts w:ascii="Arial" w:hAnsi="Arial" w:cs="Arial"/>
          <w:sz w:val="22"/>
          <w:szCs w:val="22"/>
        </w:rPr>
      </w:pPr>
    </w:p>
    <w:p w14:paraId="1BEEAFF3"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Joonis 2. Sotsiaalkaitsekulud Euroopa Liidu riikides 2022/2023, % SKT-st</w:t>
      </w:r>
    </w:p>
    <w:p w14:paraId="2EE0CA74" w14:textId="77777777" w:rsidR="006774E3" w:rsidRPr="009259E6" w:rsidRDefault="006774E3" w:rsidP="007C6C64">
      <w:pPr>
        <w:jc w:val="both"/>
        <w:rPr>
          <w:rFonts w:ascii="Arial" w:hAnsi="Arial" w:cs="Arial"/>
          <w:sz w:val="22"/>
          <w:szCs w:val="22"/>
        </w:rPr>
      </w:pPr>
    </w:p>
    <w:p w14:paraId="00C3A16E" w14:textId="77777777" w:rsidR="006774E3" w:rsidRPr="009259E6" w:rsidRDefault="006774E3" w:rsidP="007C6C64">
      <w:pPr>
        <w:jc w:val="both"/>
        <w:rPr>
          <w:rFonts w:ascii="Arial" w:hAnsi="Arial" w:cs="Arial"/>
          <w:sz w:val="22"/>
          <w:szCs w:val="22"/>
        </w:rPr>
      </w:pPr>
      <w:r w:rsidRPr="009259E6">
        <w:rPr>
          <w:rFonts w:ascii="Arial" w:hAnsi="Arial" w:cs="Arial"/>
          <w:noProof/>
          <w:sz w:val="22"/>
          <w:szCs w:val="22"/>
          <w14:ligatures w14:val="standardContextual"/>
        </w:rPr>
        <w:drawing>
          <wp:inline distT="0" distB="0" distL="0" distR="0" wp14:anchorId="4982C5BF" wp14:editId="38E914B7">
            <wp:extent cx="6278880" cy="3398520"/>
            <wp:effectExtent l="0" t="0" r="7620" b="11430"/>
            <wp:docPr id="1666845861" name="Diagramm 1">
              <a:extLst xmlns:a="http://schemas.openxmlformats.org/drawingml/2006/main">
                <a:ext uri="{FF2B5EF4-FFF2-40B4-BE49-F238E27FC236}">
                  <a16:creationId xmlns:a16="http://schemas.microsoft.com/office/drawing/2014/main" id="{635BA874-12A4-E1EF-6C46-71CC73F4B4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C14B1E7"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 xml:space="preserve">Allikas: </w:t>
      </w:r>
      <w:proofErr w:type="spellStart"/>
      <w:r w:rsidRPr="009259E6">
        <w:rPr>
          <w:rFonts w:ascii="Arial" w:hAnsi="Arial" w:cs="Arial"/>
          <w:sz w:val="22"/>
          <w:szCs w:val="22"/>
        </w:rPr>
        <w:t>Eurostat</w:t>
      </w:r>
      <w:proofErr w:type="spellEnd"/>
    </w:p>
    <w:p w14:paraId="70F9ECEB" w14:textId="77777777" w:rsidR="006774E3" w:rsidRPr="009259E6" w:rsidRDefault="006774E3" w:rsidP="007C6C64">
      <w:pPr>
        <w:jc w:val="both"/>
        <w:rPr>
          <w:rFonts w:ascii="Arial" w:hAnsi="Arial" w:cs="Arial"/>
          <w:sz w:val="22"/>
          <w:szCs w:val="22"/>
        </w:rPr>
      </w:pPr>
    </w:p>
    <w:p w14:paraId="3F02DE72" w14:textId="77777777" w:rsidR="006774E3" w:rsidRPr="009259E6" w:rsidRDefault="006774E3" w:rsidP="007C6C64">
      <w:pPr>
        <w:jc w:val="both"/>
        <w:rPr>
          <w:rFonts w:ascii="Arial" w:eastAsia="Arial" w:hAnsi="Arial" w:cs="Arial"/>
          <w:sz w:val="22"/>
          <w:szCs w:val="22"/>
        </w:rPr>
      </w:pPr>
    </w:p>
    <w:p w14:paraId="6C1C849E" w14:textId="77777777" w:rsidR="006774E3" w:rsidRPr="009259E6" w:rsidRDefault="006774E3" w:rsidP="007C6C64">
      <w:pPr>
        <w:jc w:val="both"/>
        <w:rPr>
          <w:rFonts w:ascii="Arial" w:eastAsia="Arial" w:hAnsi="Arial" w:cs="Arial"/>
          <w:sz w:val="22"/>
          <w:szCs w:val="22"/>
        </w:rPr>
      </w:pPr>
      <w:r w:rsidRPr="009259E6">
        <w:rPr>
          <w:rFonts w:ascii="Arial" w:eastAsia="Arial" w:hAnsi="Arial" w:cs="Arial"/>
          <w:sz w:val="22"/>
          <w:szCs w:val="22"/>
        </w:rPr>
        <w:t>Pensioniea tõstmine on Euroopa Liidu liikmesriikides laialdaselt kasutusele võetud meede, et leevendada demograafilist survet riiklikele pensionisüsteemidele. Mitmes riigis on vanust tõstetud või see on järk-järgult tõusmas 67. eluaastani. Lisaks on ELi 27 liikmesriigist 12 otsustanud siduda pensioniea edasise tõusu automaatselt eeldatava eluea pikenemisega.</w:t>
      </w:r>
      <w:r w:rsidRPr="009259E6">
        <w:rPr>
          <w:rStyle w:val="Allmrkuseviide"/>
          <w:rFonts w:ascii="Arial" w:eastAsia="Arial" w:hAnsi="Arial" w:cs="Arial"/>
          <w:sz w:val="22"/>
          <w:szCs w:val="22"/>
        </w:rPr>
        <w:footnoteReference w:id="10"/>
      </w:r>
      <w:r w:rsidRPr="009259E6">
        <w:rPr>
          <w:rFonts w:ascii="Arial" w:hAnsi="Arial" w:cs="Arial"/>
          <w:sz w:val="22"/>
          <w:szCs w:val="22"/>
        </w:rPr>
        <w:t xml:space="preserve"> </w:t>
      </w:r>
      <w:r w:rsidRPr="009259E6">
        <w:rPr>
          <w:rFonts w:ascii="Arial" w:eastAsia="Arial" w:hAnsi="Arial" w:cs="Arial"/>
          <w:sz w:val="22"/>
          <w:szCs w:val="22"/>
        </w:rPr>
        <w:t xml:space="preserve">Sellised mehhanismid võimaldavad pensionisüsteemil reageerida pikaajalistele demograafilistele trendidele automaatsemalt ja prognoositavamalt ning vähendavad vajadust teha sagedasi </w:t>
      </w:r>
      <w:proofErr w:type="spellStart"/>
      <w:r w:rsidRPr="009259E6">
        <w:rPr>
          <w:rFonts w:ascii="Arial" w:eastAsia="Arial" w:hAnsi="Arial" w:cs="Arial"/>
          <w:i/>
          <w:iCs/>
          <w:sz w:val="22"/>
          <w:szCs w:val="22"/>
        </w:rPr>
        <w:t>ad</w:t>
      </w:r>
      <w:proofErr w:type="spellEnd"/>
      <w:r w:rsidRPr="009259E6">
        <w:rPr>
          <w:rFonts w:ascii="Arial" w:eastAsia="Arial" w:hAnsi="Arial" w:cs="Arial"/>
          <w:i/>
          <w:iCs/>
          <w:sz w:val="22"/>
          <w:szCs w:val="22"/>
        </w:rPr>
        <w:t xml:space="preserve"> </w:t>
      </w:r>
      <w:proofErr w:type="spellStart"/>
      <w:r w:rsidRPr="009259E6">
        <w:rPr>
          <w:rFonts w:ascii="Arial" w:eastAsia="Arial" w:hAnsi="Arial" w:cs="Arial"/>
          <w:i/>
          <w:iCs/>
          <w:sz w:val="22"/>
          <w:szCs w:val="22"/>
        </w:rPr>
        <w:t>hoc</w:t>
      </w:r>
      <w:proofErr w:type="spellEnd"/>
      <w:r w:rsidRPr="009259E6">
        <w:rPr>
          <w:rFonts w:ascii="Arial" w:eastAsia="Arial" w:hAnsi="Arial" w:cs="Arial"/>
          <w:sz w:val="22"/>
          <w:szCs w:val="22"/>
        </w:rPr>
        <w:t xml:space="preserve"> poliitilisi otsuseid pensioniea muutmiseks.</w:t>
      </w:r>
    </w:p>
    <w:p w14:paraId="1D188CFF" w14:textId="77777777" w:rsidR="006774E3" w:rsidRPr="009259E6" w:rsidRDefault="006774E3" w:rsidP="007C6C64">
      <w:pPr>
        <w:jc w:val="both"/>
        <w:rPr>
          <w:rFonts w:ascii="Arial" w:hAnsi="Arial" w:cs="Arial"/>
          <w:sz w:val="22"/>
          <w:szCs w:val="22"/>
          <w:highlight w:val="cyan"/>
        </w:rPr>
      </w:pPr>
    </w:p>
    <w:p w14:paraId="51E5E62E" w14:textId="182C06A0" w:rsidR="006774E3" w:rsidRPr="009259E6" w:rsidRDefault="006774E3" w:rsidP="007C6C64">
      <w:pPr>
        <w:jc w:val="both"/>
        <w:rPr>
          <w:rFonts w:ascii="Arial" w:hAnsi="Arial" w:cs="Arial"/>
          <w:sz w:val="22"/>
          <w:szCs w:val="22"/>
        </w:rPr>
      </w:pPr>
      <w:r w:rsidRPr="009259E6">
        <w:rPr>
          <w:rFonts w:ascii="Arial" w:hAnsi="Arial" w:cs="Arial"/>
          <w:sz w:val="22"/>
          <w:szCs w:val="22"/>
        </w:rPr>
        <w:t xml:space="preserve">Vanaduspensioniea muutmine mõjutab tööealiste ja pensioniealiste suhet. Kehtiva vanaduspensioniea järgi väheneks viimase </w:t>
      </w:r>
      <w:r w:rsidR="001C74B9" w:rsidRPr="009259E6">
        <w:rPr>
          <w:rFonts w:ascii="Arial" w:hAnsi="Arial" w:cs="Arial"/>
          <w:sz w:val="22"/>
          <w:szCs w:val="22"/>
        </w:rPr>
        <w:t>Statistikaameti rahvastiku prognoosi järgi tööealiste</w:t>
      </w:r>
      <w:r w:rsidR="001C74B9">
        <w:rPr>
          <w:rFonts w:ascii="Arial" w:hAnsi="Arial" w:cs="Arial"/>
          <w:sz w:val="22"/>
          <w:szCs w:val="22"/>
        </w:rPr>
        <w:t xml:space="preserve"> (18 kuni 64-aastased)</w:t>
      </w:r>
      <w:r w:rsidR="001C74B9" w:rsidRPr="009259E6">
        <w:rPr>
          <w:rFonts w:ascii="Arial" w:hAnsi="Arial" w:cs="Arial"/>
          <w:sz w:val="22"/>
          <w:szCs w:val="22"/>
        </w:rPr>
        <w:t xml:space="preserve"> ja vanaduspensioniealiste</w:t>
      </w:r>
      <w:r w:rsidR="001C74B9">
        <w:rPr>
          <w:rFonts w:ascii="Arial" w:hAnsi="Arial" w:cs="Arial"/>
          <w:sz w:val="22"/>
          <w:szCs w:val="22"/>
        </w:rPr>
        <w:t xml:space="preserve"> (65-aastased ja vanemad)</w:t>
      </w:r>
      <w:r w:rsidR="001C74B9" w:rsidRPr="009259E6">
        <w:rPr>
          <w:rFonts w:ascii="Arial" w:hAnsi="Arial" w:cs="Arial"/>
          <w:sz w:val="22"/>
          <w:szCs w:val="22"/>
        </w:rPr>
        <w:t xml:space="preserve"> suhe </w:t>
      </w:r>
      <w:r w:rsidRPr="009259E6">
        <w:rPr>
          <w:rFonts w:ascii="Arial" w:hAnsi="Arial" w:cs="Arial"/>
          <w:sz w:val="22"/>
          <w:szCs w:val="22"/>
        </w:rPr>
        <w:t>2025. aasta 2,82-lt 2080. aasta 1,63-ni. Eelnõus esitatud pensioniea tõstmise muudatus parandab tööealiste ja pensioniealiste suhet ning aastaks 2080 on suhe eeldatavalt 2,44 (joonis 3). Makromajanduslikust vaatenurgast tähendab see, et tulevikus oleks iga pensioniealise kohta rohkem tööealisi inimesi kui stsenaariumis, kus pensioniiga jääks 65 aasta tasemele. See omakorda toetab pensionikindlustuse tulubaasi ja vähendab survet nii sotsiaalmaksumäärale kui ka pensionide reaalsele tasemele.</w:t>
      </w:r>
    </w:p>
    <w:p w14:paraId="7BBC60DA"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 xml:space="preserve"> </w:t>
      </w:r>
    </w:p>
    <w:p w14:paraId="04DC8BDA" w14:textId="77777777" w:rsidR="006774E3" w:rsidRPr="009259E6" w:rsidRDefault="006774E3" w:rsidP="007C6C64">
      <w:pPr>
        <w:jc w:val="both"/>
        <w:rPr>
          <w:rFonts w:ascii="Arial" w:hAnsi="Arial" w:cs="Arial"/>
          <w:sz w:val="22"/>
          <w:szCs w:val="22"/>
        </w:rPr>
      </w:pPr>
    </w:p>
    <w:p w14:paraId="1BEDD907"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lastRenderedPageBreak/>
        <w:t>Joonis 3. Tööealiste ja pensioniealiste suhe aastatel 2025–2080</w:t>
      </w:r>
    </w:p>
    <w:p w14:paraId="0EABA92E" w14:textId="77777777" w:rsidR="006774E3" w:rsidRPr="009259E6" w:rsidRDefault="006774E3" w:rsidP="007C6C64">
      <w:pPr>
        <w:jc w:val="both"/>
        <w:rPr>
          <w:rFonts w:ascii="Arial" w:hAnsi="Arial" w:cs="Arial"/>
          <w:sz w:val="22"/>
          <w:szCs w:val="22"/>
        </w:rPr>
      </w:pPr>
    </w:p>
    <w:p w14:paraId="6A85EFB3" w14:textId="77777777" w:rsidR="006774E3" w:rsidRPr="009259E6" w:rsidRDefault="006774E3" w:rsidP="007C6C64">
      <w:pPr>
        <w:jc w:val="both"/>
        <w:rPr>
          <w:rFonts w:ascii="Arial" w:hAnsi="Arial" w:cs="Arial"/>
          <w:sz w:val="22"/>
          <w:szCs w:val="22"/>
        </w:rPr>
      </w:pPr>
      <w:r w:rsidRPr="009259E6">
        <w:rPr>
          <w:rFonts w:ascii="Arial" w:hAnsi="Arial" w:cs="Arial"/>
          <w:noProof/>
          <w:sz w:val="22"/>
          <w:szCs w:val="22"/>
          <w14:ligatures w14:val="standardContextual"/>
        </w:rPr>
        <w:drawing>
          <wp:inline distT="0" distB="0" distL="0" distR="0" wp14:anchorId="60CC92A3" wp14:editId="23224F1C">
            <wp:extent cx="5928360" cy="3268980"/>
            <wp:effectExtent l="0" t="0" r="15240" b="7620"/>
            <wp:docPr id="377032050" name="Diagramm 1">
              <a:extLst xmlns:a="http://schemas.openxmlformats.org/drawingml/2006/main">
                <a:ext uri="{FF2B5EF4-FFF2-40B4-BE49-F238E27FC236}">
                  <a16:creationId xmlns:a16="http://schemas.microsoft.com/office/drawing/2014/main" id="{97AB571F-AFE3-2EE1-7023-30A4FD9288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F498364"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 xml:space="preserve"> </w:t>
      </w:r>
    </w:p>
    <w:p w14:paraId="3242533E"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Allikas: Statistikaamet, Sotsiaalministeeriumi arvutused</w:t>
      </w:r>
    </w:p>
    <w:p w14:paraId="3580490A" w14:textId="77777777" w:rsidR="006774E3" w:rsidRPr="009259E6" w:rsidRDefault="006774E3" w:rsidP="007C6C64">
      <w:pPr>
        <w:jc w:val="both"/>
        <w:rPr>
          <w:rFonts w:ascii="Arial" w:hAnsi="Arial" w:cs="Arial"/>
          <w:sz w:val="22"/>
          <w:szCs w:val="22"/>
        </w:rPr>
      </w:pPr>
      <w:r w:rsidRPr="009259E6">
        <w:rPr>
          <w:rFonts w:ascii="Arial" w:hAnsi="Arial" w:cs="Arial"/>
          <w:sz w:val="22"/>
          <w:szCs w:val="22"/>
        </w:rPr>
        <w:t>Märkus: 2025. aastal tööealised</w:t>
      </w:r>
      <w:r w:rsidRPr="009259E6" w:rsidDel="0086456C">
        <w:rPr>
          <w:rFonts w:ascii="Arial" w:hAnsi="Arial" w:cs="Arial"/>
          <w:sz w:val="22"/>
          <w:szCs w:val="22"/>
        </w:rPr>
        <w:t xml:space="preserve"> </w:t>
      </w:r>
      <w:r w:rsidRPr="009259E6">
        <w:rPr>
          <w:rFonts w:ascii="Arial" w:hAnsi="Arial" w:cs="Arial"/>
          <w:sz w:val="22"/>
          <w:szCs w:val="22"/>
        </w:rPr>
        <w:t>18–64, pensioniealised 65+ ja muudetud vastavalt pensioniea tõusule, st 2080. aastal tööealised 18–70, pensioniealised 70+</w:t>
      </w:r>
    </w:p>
    <w:p w14:paraId="157EE478" w14:textId="77777777" w:rsidR="006774E3" w:rsidRPr="009259E6" w:rsidRDefault="006774E3" w:rsidP="007C6C64">
      <w:pPr>
        <w:jc w:val="both"/>
        <w:rPr>
          <w:rFonts w:ascii="Arial" w:eastAsia="Arial" w:hAnsi="Arial" w:cs="Arial"/>
          <w:sz w:val="22"/>
          <w:szCs w:val="22"/>
          <w:u w:val="single"/>
        </w:rPr>
      </w:pPr>
    </w:p>
    <w:p w14:paraId="400F8F48" w14:textId="77777777" w:rsidR="006774E3" w:rsidRPr="009259E6" w:rsidRDefault="006774E3" w:rsidP="007C6C64">
      <w:pPr>
        <w:jc w:val="both"/>
        <w:rPr>
          <w:rFonts w:ascii="Arial" w:eastAsia="Arial" w:hAnsi="Arial" w:cs="Arial"/>
          <w:sz w:val="22"/>
          <w:szCs w:val="22"/>
          <w:u w:val="single"/>
        </w:rPr>
      </w:pPr>
    </w:p>
    <w:p w14:paraId="2FF8A622" w14:textId="77777777" w:rsidR="006774E3" w:rsidRPr="009259E6" w:rsidRDefault="006774E3" w:rsidP="007C6C64">
      <w:pPr>
        <w:jc w:val="both"/>
        <w:rPr>
          <w:rFonts w:ascii="Arial" w:hAnsi="Arial" w:cs="Arial"/>
          <w:sz w:val="22"/>
          <w:szCs w:val="22"/>
        </w:rPr>
      </w:pPr>
      <w:r w:rsidRPr="009259E6">
        <w:rPr>
          <w:rFonts w:ascii="Arial" w:eastAsia="Arial" w:hAnsi="Arial" w:cs="Arial"/>
          <w:sz w:val="22"/>
          <w:szCs w:val="22"/>
          <w:u w:val="single"/>
        </w:rPr>
        <w:t>Ebasoovitavate mõjude risk</w:t>
      </w:r>
    </w:p>
    <w:p w14:paraId="710A2C2F" w14:textId="77777777" w:rsidR="006774E3" w:rsidRPr="009259E6" w:rsidRDefault="006774E3" w:rsidP="007C6C64">
      <w:pPr>
        <w:jc w:val="both"/>
        <w:rPr>
          <w:rFonts w:ascii="Arial" w:eastAsia="Arial" w:hAnsi="Arial" w:cs="Arial"/>
          <w:sz w:val="22"/>
          <w:szCs w:val="22"/>
          <w:highlight w:val="cyan"/>
          <w:u w:val="single"/>
        </w:rPr>
      </w:pPr>
    </w:p>
    <w:p w14:paraId="2E4DEC01" w14:textId="03CA6197" w:rsidR="006774E3" w:rsidRPr="009259E6" w:rsidRDefault="006774E3" w:rsidP="007C6C64">
      <w:pPr>
        <w:jc w:val="both"/>
        <w:rPr>
          <w:rFonts w:ascii="Arial" w:hAnsi="Arial" w:cs="Arial"/>
          <w:sz w:val="22"/>
          <w:szCs w:val="22"/>
        </w:rPr>
      </w:pPr>
      <w:r w:rsidRPr="009259E6">
        <w:rPr>
          <w:rFonts w:ascii="Arial" w:eastAsia="Arial" w:hAnsi="Arial" w:cs="Arial"/>
          <w:sz w:val="22"/>
          <w:szCs w:val="22"/>
        </w:rPr>
        <w:t xml:space="preserve">Pensioniiga on seotud eeldatava elueaga, nii et pensioniea muutus sõltub 65-aastaste inimeste eeldatava eluea muutusest. Et vältida eeldatava eluea kõikumise mõju (st eeldatava eluea muutus võib kõikuda aasta varasemaga võrreldes suhteliselt suurtes piirides), on võetud pensioniea muutmisel aluseks viie aasta libisev keskmine. Võimalike teadlikkusega seotud riskide maandamiseks kehtestatakse vanaduspensioniiga kaks aastat varem, et pensionile jääjatele oleks see enne teada (iga aasta </w:t>
      </w:r>
      <w:r w:rsidR="00125A2B" w:rsidRPr="009259E6">
        <w:rPr>
          <w:rFonts w:ascii="Arial" w:eastAsia="Arial" w:hAnsi="Arial" w:cs="Arial"/>
          <w:sz w:val="22"/>
          <w:szCs w:val="22"/>
        </w:rPr>
        <w:t>lõpus</w:t>
      </w:r>
      <w:r w:rsidRPr="009259E6">
        <w:rPr>
          <w:rFonts w:ascii="Arial" w:eastAsia="Arial" w:hAnsi="Arial" w:cs="Arial"/>
          <w:sz w:val="22"/>
          <w:szCs w:val="22"/>
        </w:rPr>
        <w:t xml:space="preserve"> kehtestatakse üle-ülejärgmise aasta vanaduspensioniiga). Samuti on RPKS-s sätestatud, et vanaduspensioniiga ei saa tõusta rohkem kui kolm kuud aastas.</w:t>
      </w:r>
    </w:p>
    <w:p w14:paraId="7E63AF9C" w14:textId="77777777" w:rsidR="006774E3" w:rsidRPr="009259E6" w:rsidRDefault="006774E3" w:rsidP="007C6C64">
      <w:pPr>
        <w:jc w:val="both"/>
        <w:rPr>
          <w:rFonts w:ascii="Arial" w:eastAsia="Arial" w:hAnsi="Arial" w:cs="Arial"/>
          <w:sz w:val="22"/>
          <w:szCs w:val="22"/>
        </w:rPr>
      </w:pPr>
    </w:p>
    <w:p w14:paraId="5154FE4A" w14:textId="77777777" w:rsidR="006774E3" w:rsidRPr="009259E6" w:rsidRDefault="006774E3" w:rsidP="007C6C64">
      <w:pPr>
        <w:pStyle w:val="xmsonormal"/>
        <w:shd w:val="clear" w:color="auto" w:fill="FFFFFF"/>
        <w:spacing w:before="0" w:beforeAutospacing="0" w:after="0" w:afterAutospacing="0"/>
        <w:jc w:val="both"/>
        <w:rPr>
          <w:rFonts w:ascii="Arial" w:hAnsi="Arial" w:cs="Arial"/>
          <w:color w:val="242424"/>
          <w:sz w:val="22"/>
          <w:szCs w:val="22"/>
          <w:bdr w:val="none" w:sz="0" w:space="0" w:color="auto" w:frame="1"/>
        </w:rPr>
      </w:pPr>
      <w:r w:rsidRPr="009259E6">
        <w:rPr>
          <w:rFonts w:ascii="Arial" w:eastAsia="Arial" w:hAnsi="Arial" w:cs="Arial"/>
          <w:sz w:val="22"/>
          <w:szCs w:val="22"/>
        </w:rPr>
        <w:t>Ebasoovitav mõju võib ilmneda sel juhul, kui tööturg ei ole piisavalt paindlik ning sellest tulenevalt jäävad vanemaealised tööturult eemale ja vajavad täiendavat abi majandusliku toimetuleku tagamisel. Analüüsid näitavad, et vanemaealistel (55–64-aastased) on töötuks jäämisel uue töökoha leidmine tunduvalt raskem kui noorematel tööotsijatel. Vanemaealiste töötuse määr on küll madalam üldisest töötuse määrast, kuid teisalt on nende tööotsingud pikaajalisemad või langetakse üldse tööturult välja.</w:t>
      </w:r>
      <w:r w:rsidRPr="009259E6">
        <w:rPr>
          <w:rStyle w:val="Allmrkuseviide"/>
          <w:rFonts w:ascii="Arial" w:eastAsia="Arial" w:hAnsi="Arial" w:cs="Arial"/>
          <w:sz w:val="22"/>
          <w:szCs w:val="22"/>
        </w:rPr>
        <w:footnoteReference w:id="11"/>
      </w:r>
      <w:r w:rsidRPr="009259E6">
        <w:rPr>
          <w:rFonts w:ascii="Arial" w:eastAsia="Arial" w:hAnsi="Arial" w:cs="Arial"/>
          <w:sz w:val="22"/>
          <w:szCs w:val="22"/>
        </w:rPr>
        <w:t xml:space="preserve"> Riski maandamiseks on oluline arendada vanemaealiste töötajate hõives püsimiseks töötuse ennetamise meetmeid: töövõime jätkusuutlikkuse tagamine, täiend- ja ümberõppe soodustamine, koondamistele reageerimine, elukestva õppe põhimõtete ja tööandjate vajadustele vastavate koolituste arendamine ning tööturuteenuste osutamine pensionieas tööotsijatele tööturult väljalangemise vältimiseks.</w:t>
      </w:r>
      <w:r w:rsidRPr="009259E6">
        <w:rPr>
          <w:rStyle w:val="Allmrkuseviide"/>
          <w:rFonts w:ascii="Arial" w:eastAsia="Arial" w:hAnsi="Arial" w:cs="Arial"/>
          <w:sz w:val="22"/>
          <w:szCs w:val="22"/>
        </w:rPr>
        <w:footnoteReference w:id="12"/>
      </w:r>
      <w:r w:rsidRPr="009259E6">
        <w:rPr>
          <w:rFonts w:ascii="Arial" w:eastAsia="Arial" w:hAnsi="Arial" w:cs="Arial"/>
          <w:sz w:val="22"/>
          <w:szCs w:val="22"/>
        </w:rPr>
        <w:t xml:space="preserve"> Ka võib suureneda vajadus osaajaga töötamise võimaluste järele.</w:t>
      </w:r>
      <w:r w:rsidRPr="009259E6">
        <w:rPr>
          <w:rFonts w:ascii="Arial" w:hAnsi="Arial" w:cs="Arial"/>
          <w:color w:val="242424"/>
          <w:sz w:val="22"/>
          <w:szCs w:val="22"/>
          <w:bdr w:val="none" w:sz="0" w:space="0" w:color="auto" w:frame="1"/>
        </w:rPr>
        <w:t xml:space="preserve"> </w:t>
      </w:r>
    </w:p>
    <w:p w14:paraId="44AC3838" w14:textId="77777777" w:rsidR="006774E3" w:rsidRPr="009259E6" w:rsidRDefault="006774E3" w:rsidP="007C6C64">
      <w:pPr>
        <w:pStyle w:val="xmsonormal"/>
        <w:shd w:val="clear" w:color="auto" w:fill="FFFFFF"/>
        <w:spacing w:before="0" w:beforeAutospacing="0" w:after="0" w:afterAutospacing="0"/>
        <w:jc w:val="both"/>
        <w:rPr>
          <w:rFonts w:ascii="Arial" w:hAnsi="Arial" w:cs="Arial"/>
          <w:sz w:val="22"/>
          <w:szCs w:val="22"/>
          <w:bdr w:val="none" w:sz="0" w:space="0" w:color="auto" w:frame="1"/>
        </w:rPr>
      </w:pPr>
    </w:p>
    <w:p w14:paraId="1DF5A64B" w14:textId="64676536" w:rsidR="006774E3" w:rsidRPr="009259E6" w:rsidRDefault="006774E3" w:rsidP="007C6C64">
      <w:pPr>
        <w:pStyle w:val="xmsonormal"/>
        <w:shd w:val="clear" w:color="auto" w:fill="FFFFFF"/>
        <w:spacing w:before="0" w:beforeAutospacing="0" w:after="0" w:afterAutospacing="0"/>
        <w:jc w:val="both"/>
        <w:rPr>
          <w:rFonts w:ascii="Arial" w:eastAsia="Arial" w:hAnsi="Arial" w:cs="Arial"/>
          <w:sz w:val="22"/>
          <w:szCs w:val="22"/>
        </w:rPr>
      </w:pPr>
      <w:r w:rsidRPr="009259E6">
        <w:rPr>
          <w:rFonts w:ascii="Arial" w:hAnsi="Arial" w:cs="Arial"/>
          <w:sz w:val="22"/>
          <w:szCs w:val="22"/>
          <w:bdr w:val="none" w:sz="0" w:space="0" w:color="auto" w:frame="1"/>
        </w:rPr>
        <w:lastRenderedPageBreak/>
        <w:t>Käesoleval ajal pakutakse vanemaealistele inimestele Eesti Töötukassa kaudu erinevaid tööturuteenuseid ja mitte ainult tööd kaotades, vaid ka tööturul konkurentsivõime säilitamiseks. Muuhulgas pakutakse töötust ennetava paindliku täiendõppe meetmena vanuses 50+</w:t>
      </w:r>
      <w:r w:rsidRPr="009259E6">
        <w:rPr>
          <w:rFonts w:ascii="Arial" w:hAnsi="Arial" w:cs="Arial"/>
          <w:sz w:val="22"/>
          <w:szCs w:val="22"/>
          <w:bdr w:val="none" w:sz="0" w:space="0" w:color="auto" w:frame="1"/>
          <w:shd w:val="clear" w:color="auto" w:fill="FFFFFF"/>
        </w:rPr>
        <w:t> </w:t>
      </w:r>
      <w:r w:rsidRPr="009259E6">
        <w:rPr>
          <w:rFonts w:ascii="Arial" w:eastAsia="Arial" w:hAnsi="Arial" w:cs="Arial"/>
          <w:sz w:val="22"/>
          <w:szCs w:val="22"/>
        </w:rPr>
        <w:t>kuni keskmist palka teenivatele töötavatele inimestele tööturukoolitust koolituskaardiga. Alates 1. juunist 2025 on lisandunud veel koolituskaardi saajate loetellu vanaduspensioniealised, kellele on määratud vanaduspension soodustingimustel vanaduspensionide seaduse alusel või pension väljateenitud aastate pensionide seaduse alusel. Samuti on nii töötul kui töötaval vanemaealisel inimesel võimalus osaleda töötukassa toel ümberõppes saades tasemeõppes osalemise toetust. Tingimuseks on, et inimesel on eri- või kutsealase hariduse omandamisest möödunud vähemalt 15 aastat. Nii täiend- kui ümberõppeteenustel osalemise aluseks võib olla ka tervisest tulenev takistus, mille tõttu on inimesel vaja töökohta muuta ning vajalike oskuste omandamiseks on võimalik saada nii tööturukoolitust koolituskaardiga kui tasemeõppes osalemise toetust.</w:t>
      </w:r>
    </w:p>
    <w:p w14:paraId="73F95EF0" w14:textId="77777777" w:rsidR="006774E3" w:rsidRPr="009259E6" w:rsidRDefault="006774E3" w:rsidP="007C6C64">
      <w:pPr>
        <w:pStyle w:val="xmsonormal"/>
        <w:shd w:val="clear" w:color="auto" w:fill="FFFFFF"/>
        <w:spacing w:before="0" w:beforeAutospacing="0" w:after="0" w:afterAutospacing="0"/>
        <w:rPr>
          <w:rFonts w:ascii="Arial" w:eastAsia="Arial" w:hAnsi="Arial" w:cs="Arial"/>
          <w:sz w:val="22"/>
          <w:szCs w:val="22"/>
        </w:rPr>
      </w:pPr>
    </w:p>
    <w:p w14:paraId="40BC1945" w14:textId="77777777" w:rsidR="006774E3" w:rsidRPr="009259E6" w:rsidRDefault="006774E3" w:rsidP="007C6C64">
      <w:pPr>
        <w:jc w:val="both"/>
        <w:rPr>
          <w:rFonts w:ascii="Arial" w:eastAsia="Arial" w:hAnsi="Arial" w:cs="Arial"/>
          <w:sz w:val="22"/>
          <w:szCs w:val="22"/>
        </w:rPr>
      </w:pPr>
      <w:r w:rsidRPr="009259E6">
        <w:rPr>
          <w:rFonts w:ascii="Arial" w:eastAsia="Arial" w:hAnsi="Arial" w:cs="Arial"/>
          <w:sz w:val="22"/>
          <w:szCs w:val="22"/>
        </w:rPr>
        <w:t>Mitmed rahvusvahelised uuringud näitavad, et pensioniea tõstmine suurendab vanemaealiste tööhõivet, kuid mõju ei jaotu sihtrühmade lõikes ühtlaselt. OECD analüüsid viitavad, et pensioniea tõusul on positiivne ja statistiliselt oluline mõju vanemaealiste tööhõivemäärale, kuid mõju suurus erineb riigiti ning sõltub pensionisüsteemi disainist ja tööjõuturu tingimustest</w:t>
      </w:r>
      <w:r w:rsidRPr="009259E6">
        <w:rPr>
          <w:rStyle w:val="Allmrkuseviide"/>
          <w:rFonts w:ascii="Arial" w:eastAsia="Arial" w:hAnsi="Arial" w:cs="Arial"/>
          <w:sz w:val="22"/>
          <w:szCs w:val="22"/>
        </w:rPr>
        <w:footnoteReference w:id="13"/>
      </w:r>
      <w:r w:rsidRPr="009259E6">
        <w:rPr>
          <w:rFonts w:ascii="Arial" w:eastAsia="Arial" w:hAnsi="Arial" w:cs="Arial"/>
          <w:sz w:val="22"/>
          <w:szCs w:val="22"/>
        </w:rPr>
        <w:t>. Samuti näitavad OECD analüüsid, et pensioniea tõus mõjutab tööjõupakkumist vaid osaliselt, kuna kohandumine toimub ka teiste kanalite kaudu</w:t>
      </w:r>
      <w:r w:rsidRPr="009259E6">
        <w:rPr>
          <w:rStyle w:val="Allmrkuseviide"/>
          <w:rFonts w:ascii="Arial" w:eastAsia="Arial" w:hAnsi="Arial" w:cs="Arial"/>
          <w:sz w:val="22"/>
          <w:szCs w:val="22"/>
        </w:rPr>
        <w:footnoteReference w:id="14"/>
      </w:r>
      <w:r w:rsidRPr="009259E6">
        <w:rPr>
          <w:rFonts w:ascii="Arial" w:eastAsia="Arial" w:hAnsi="Arial" w:cs="Arial"/>
          <w:sz w:val="22"/>
          <w:szCs w:val="22"/>
        </w:rPr>
        <w:t>. Euroopa Liidu tasandi analüüsid kinnitavad, et vanemaealiste tööhõive kasv viimastel kümnenditel on olnud seotud nii pensioniea tõstmise kui ka parema tervise ja haridustasemega</w:t>
      </w:r>
      <w:r w:rsidRPr="009259E6">
        <w:rPr>
          <w:rStyle w:val="Allmrkuseviide"/>
          <w:rFonts w:ascii="Arial" w:eastAsia="Arial" w:hAnsi="Arial" w:cs="Arial"/>
          <w:sz w:val="22"/>
          <w:szCs w:val="22"/>
        </w:rPr>
        <w:footnoteReference w:id="15"/>
      </w:r>
      <w:r w:rsidRPr="009259E6">
        <w:rPr>
          <w:rFonts w:ascii="Arial" w:eastAsia="Arial" w:hAnsi="Arial" w:cs="Arial"/>
          <w:sz w:val="22"/>
          <w:szCs w:val="22"/>
        </w:rPr>
        <w:t>.</w:t>
      </w:r>
    </w:p>
    <w:p w14:paraId="0B223E1E" w14:textId="77777777" w:rsidR="006774E3" w:rsidRPr="009259E6" w:rsidRDefault="006774E3" w:rsidP="007C6C64">
      <w:pPr>
        <w:jc w:val="both"/>
        <w:rPr>
          <w:rFonts w:ascii="Arial" w:eastAsia="Arial" w:hAnsi="Arial" w:cs="Arial"/>
          <w:sz w:val="22"/>
          <w:szCs w:val="22"/>
        </w:rPr>
      </w:pPr>
      <w:r w:rsidRPr="009259E6">
        <w:rPr>
          <w:rFonts w:ascii="Arial" w:eastAsia="Arial" w:hAnsi="Arial" w:cs="Arial"/>
          <w:sz w:val="22"/>
          <w:szCs w:val="22"/>
        </w:rPr>
        <w:t>Kirjanduses on viidatud ka sellele, et pensioniea tõstmisel võivad ilmneda kõrvalmõjud tervisele, heaolule ja töövõimele. Empiirilised uuringud näitavad, et pensioniea tõus suurendab küll tööjõus osalemist, kuid selle mõju tervisele ja heaolule on ebaühtlane</w:t>
      </w:r>
      <w:r w:rsidRPr="009259E6">
        <w:rPr>
          <w:rStyle w:val="Allmrkuseviide"/>
          <w:rFonts w:ascii="Arial" w:eastAsia="Arial" w:hAnsi="Arial" w:cs="Arial"/>
          <w:sz w:val="22"/>
          <w:szCs w:val="22"/>
        </w:rPr>
        <w:footnoteReference w:id="16"/>
      </w:r>
      <w:r w:rsidRPr="009259E6">
        <w:rPr>
          <w:rFonts w:ascii="Arial" w:eastAsia="Arial" w:hAnsi="Arial" w:cs="Arial"/>
          <w:sz w:val="22"/>
          <w:szCs w:val="22"/>
        </w:rPr>
        <w:t>. Samuti on leitud, et mõju võib avalduda erinevate tööturult väljumise kanalite kaudu, sealhulgas töövõimetuse või töötuse süsteemide kaudu</w:t>
      </w:r>
      <w:r w:rsidRPr="009259E6">
        <w:rPr>
          <w:rStyle w:val="Allmrkuseviide"/>
          <w:rFonts w:ascii="Arial" w:eastAsia="Arial" w:hAnsi="Arial" w:cs="Arial"/>
          <w:sz w:val="22"/>
          <w:szCs w:val="22"/>
        </w:rPr>
        <w:footnoteReference w:id="17"/>
      </w:r>
      <w:r w:rsidRPr="009259E6">
        <w:rPr>
          <w:rFonts w:ascii="Arial" w:eastAsia="Arial" w:hAnsi="Arial" w:cs="Arial"/>
          <w:sz w:val="22"/>
          <w:szCs w:val="22"/>
        </w:rPr>
        <w:t>. Erinevad uuringud viitavad ka puudetoetuste saajate arvu kasvule.</w:t>
      </w:r>
      <w:r w:rsidRPr="009259E6">
        <w:rPr>
          <w:rStyle w:val="Allmrkuseviide"/>
          <w:rFonts w:ascii="Arial" w:eastAsia="Arial" w:hAnsi="Arial" w:cs="Arial"/>
          <w:sz w:val="22"/>
          <w:szCs w:val="22"/>
        </w:rPr>
        <w:footnoteReference w:id="18"/>
      </w:r>
    </w:p>
    <w:p w14:paraId="3BB5B467" w14:textId="77777777" w:rsidR="006774E3" w:rsidRPr="009259E6" w:rsidRDefault="006774E3" w:rsidP="007C6C64">
      <w:pPr>
        <w:jc w:val="both"/>
        <w:rPr>
          <w:rFonts w:ascii="Arial" w:eastAsia="Arial" w:hAnsi="Arial" w:cs="Arial"/>
          <w:sz w:val="22"/>
          <w:szCs w:val="22"/>
          <w:highlight w:val="cyan"/>
        </w:rPr>
      </w:pPr>
    </w:p>
    <w:p w14:paraId="44BBCE02" w14:textId="6DA2BC4E" w:rsidR="006774E3" w:rsidRPr="009259E6" w:rsidRDefault="006774E3" w:rsidP="007C6C64">
      <w:pPr>
        <w:jc w:val="both"/>
        <w:rPr>
          <w:rFonts w:ascii="Arial" w:eastAsia="Arial" w:hAnsi="Arial" w:cs="Arial"/>
          <w:sz w:val="22"/>
          <w:szCs w:val="22"/>
        </w:rPr>
      </w:pPr>
      <w:r w:rsidRPr="009259E6">
        <w:rPr>
          <w:rFonts w:ascii="Arial" w:eastAsia="Arial" w:hAnsi="Arial" w:cs="Arial"/>
          <w:sz w:val="22"/>
          <w:szCs w:val="22"/>
        </w:rPr>
        <w:t>Kokkuvõttes võib ebasoovitavate mõjude riski hinnata keskmiseks. Muudatusel on oluline mõju, kuna see rakendub kõigile Eesti elanikele, kes on sündinud 1. oktooberil 1963 ja hiljem. Samas aitab muudatus kaasa tööjõu pakkumise suurenemisele ja pensionisüsteemi finantsilisele jätkusuutlikkusele (sh paraneb tööealiste ja vanaduspensioniealiste suhe).</w:t>
      </w:r>
    </w:p>
    <w:p w14:paraId="306BF721" w14:textId="77777777" w:rsidR="006774E3" w:rsidRPr="009259E6" w:rsidRDefault="006774E3" w:rsidP="007C6C64">
      <w:pPr>
        <w:jc w:val="both"/>
        <w:rPr>
          <w:rFonts w:ascii="Arial" w:eastAsia="Arial" w:hAnsi="Arial" w:cs="Arial"/>
          <w:sz w:val="22"/>
          <w:szCs w:val="22"/>
          <w:highlight w:val="cyan"/>
        </w:rPr>
      </w:pPr>
    </w:p>
    <w:p w14:paraId="41183ABB" w14:textId="77777777" w:rsidR="006774E3" w:rsidRPr="009259E6" w:rsidRDefault="006774E3" w:rsidP="007C6C64">
      <w:pPr>
        <w:jc w:val="both"/>
        <w:rPr>
          <w:rFonts w:ascii="Arial" w:eastAsia="Arial" w:hAnsi="Arial" w:cs="Arial"/>
          <w:sz w:val="22"/>
          <w:szCs w:val="22"/>
        </w:rPr>
      </w:pPr>
      <w:r w:rsidRPr="009259E6">
        <w:rPr>
          <w:rFonts w:ascii="Arial" w:eastAsia="Arial" w:hAnsi="Arial" w:cs="Arial"/>
          <w:b/>
          <w:bCs/>
          <w:sz w:val="22"/>
          <w:szCs w:val="22"/>
        </w:rPr>
        <w:t>4.3. Mõju riigiasutuste ja kohaliku omavalitsuse asutuste korraldusele ja riigieelarvele</w:t>
      </w:r>
    </w:p>
    <w:p w14:paraId="5991DE97" w14:textId="77777777" w:rsidR="006774E3" w:rsidRPr="009259E6" w:rsidRDefault="006774E3" w:rsidP="007C6C64">
      <w:pPr>
        <w:jc w:val="both"/>
        <w:rPr>
          <w:rFonts w:ascii="Arial" w:eastAsia="Arial" w:hAnsi="Arial" w:cs="Arial"/>
          <w:sz w:val="22"/>
          <w:szCs w:val="22"/>
        </w:rPr>
      </w:pPr>
    </w:p>
    <w:p w14:paraId="4C152BB5" w14:textId="77777777" w:rsidR="006774E3" w:rsidRPr="009259E6" w:rsidRDefault="006774E3" w:rsidP="007C6C64">
      <w:pPr>
        <w:jc w:val="both"/>
        <w:rPr>
          <w:rFonts w:ascii="Arial" w:hAnsi="Arial" w:cs="Arial"/>
          <w:sz w:val="22"/>
          <w:szCs w:val="22"/>
        </w:rPr>
      </w:pPr>
      <w:r w:rsidRPr="009259E6">
        <w:rPr>
          <w:rFonts w:ascii="Arial" w:eastAsia="Arial" w:hAnsi="Arial" w:cs="Arial"/>
          <w:sz w:val="22"/>
          <w:szCs w:val="22"/>
        </w:rPr>
        <w:t>Määruses esitatud muudatus mõjutab riigiasutustest Sotsiaalkindlustusametit ja Tervise ja Heaolu Infosüsteemide Keskust (TEHIK). Sotsiaalkindlustusametis mõjutab muudatus pensionimenetlusega tegelevaid töötajaid ja klienditeenindajaid, kes nõustavad sihtrühma. See nõuab muudatusi nii töökorralduses kui ka infosüsteemides, kuid nende muudatustega ei kaasne kohanemisraskusi, kuna vanaduspensioniiga on Eestis alates 2002. aastast järk-</w:t>
      </w:r>
      <w:r w:rsidRPr="009259E6">
        <w:rPr>
          <w:rFonts w:ascii="Arial" w:eastAsia="Arial" w:hAnsi="Arial" w:cs="Arial"/>
          <w:sz w:val="22"/>
          <w:szCs w:val="22"/>
        </w:rPr>
        <w:lastRenderedPageBreak/>
        <w:t xml:space="preserve">järgult tõusnud. Muudatusega ei kaasne halduskoormuse suurenemist tulevastele pensionäridele. </w:t>
      </w:r>
      <w:proofErr w:type="spellStart"/>
      <w:r w:rsidRPr="009259E6">
        <w:rPr>
          <w:rFonts w:ascii="Arial" w:eastAsia="Arial" w:hAnsi="Arial" w:cs="Arial"/>
          <w:sz w:val="22"/>
          <w:szCs w:val="22"/>
        </w:rPr>
        <w:t>TEHIKut</w:t>
      </w:r>
      <w:proofErr w:type="spellEnd"/>
      <w:r w:rsidRPr="009259E6">
        <w:rPr>
          <w:rFonts w:ascii="Arial" w:eastAsia="Arial" w:hAnsi="Arial" w:cs="Arial"/>
          <w:sz w:val="22"/>
          <w:szCs w:val="22"/>
        </w:rPr>
        <w:t xml:space="preserve"> mõjutab muudatus infosüsteemi uuendamise kaudu, kuid selle mõju on väike ja mõju avaldumise sagedus ühekordne. Määruses esitatud muudatus ei mõjuta kohalike omavalitsuste korraldust.</w:t>
      </w:r>
    </w:p>
    <w:p w14:paraId="633AAB53" w14:textId="77777777" w:rsidR="006774E3" w:rsidRPr="009259E6" w:rsidRDefault="006774E3" w:rsidP="007C6C64">
      <w:pPr>
        <w:jc w:val="both"/>
        <w:rPr>
          <w:rFonts w:ascii="Arial" w:eastAsia="Arial" w:hAnsi="Arial" w:cs="Arial"/>
          <w:b/>
          <w:bCs/>
          <w:sz w:val="22"/>
          <w:szCs w:val="22"/>
        </w:rPr>
      </w:pPr>
    </w:p>
    <w:p w14:paraId="5CCB708F" w14:textId="77777777" w:rsidR="006774E3" w:rsidRPr="009259E6" w:rsidRDefault="006774E3" w:rsidP="007C6C64">
      <w:pPr>
        <w:jc w:val="both"/>
        <w:rPr>
          <w:rFonts w:ascii="Arial" w:hAnsi="Arial" w:cs="Arial"/>
          <w:sz w:val="22"/>
          <w:szCs w:val="22"/>
        </w:rPr>
      </w:pPr>
      <w:r w:rsidRPr="009259E6">
        <w:rPr>
          <w:rFonts w:ascii="Arial" w:eastAsia="Arial" w:hAnsi="Arial" w:cs="Arial"/>
          <w:sz w:val="22"/>
          <w:szCs w:val="22"/>
        </w:rPr>
        <w:t>Pensionisüsteemi finantsilist jätkusuutlikkust mõjutavad nii majandusareng kui ka rahvastiku vananemine. Rahvastiku vananemisega on oodata tööealise elanikkonna olulist vähenemist võrreldes pensioniealistega. Praeguse olukorra jätkumisel suureneb pensionäride arv, mis tähendab survet pensionikindlustuse eelarvele ja pensioni suurusele. Seetõttu on pensioniea tõusu peamine eesmärk parandada pensionisüsteemi jätkusuutlikkust, suurendades muudatuse kaudu töötavate inimeste arvu ja vähendades pensionäride arvu.</w:t>
      </w:r>
    </w:p>
    <w:p w14:paraId="03A9FCE3" w14:textId="77777777" w:rsidR="006774E3" w:rsidRPr="009259E6" w:rsidRDefault="006774E3" w:rsidP="007C6C64">
      <w:pPr>
        <w:jc w:val="both"/>
        <w:rPr>
          <w:rFonts w:ascii="Arial" w:eastAsia="Arial" w:hAnsi="Arial" w:cs="Arial"/>
          <w:sz w:val="22"/>
          <w:szCs w:val="22"/>
        </w:rPr>
      </w:pPr>
    </w:p>
    <w:p w14:paraId="2B574943" w14:textId="77777777" w:rsidR="006774E3" w:rsidRPr="009259E6" w:rsidRDefault="006774E3" w:rsidP="007C6C64">
      <w:pPr>
        <w:jc w:val="both"/>
        <w:rPr>
          <w:rFonts w:ascii="Arial" w:eastAsia="Arial" w:hAnsi="Arial" w:cs="Arial"/>
          <w:sz w:val="22"/>
          <w:szCs w:val="22"/>
        </w:rPr>
      </w:pPr>
      <w:r w:rsidRPr="009259E6">
        <w:rPr>
          <w:rFonts w:ascii="Arial" w:eastAsia="Arial" w:hAnsi="Arial" w:cs="Arial"/>
          <w:sz w:val="22"/>
          <w:szCs w:val="22"/>
        </w:rPr>
        <w:t>Eestis rahastatakse vanaduspensione (I sammast) peamiselt jooksvast sotsiaalmaksust, aga ka riigieelarve muudest tuludest. Riikliku pensionikindlustuse kulud olid 2025. aastal kokku 3,2 miljardit eurot.</w:t>
      </w:r>
      <w:r w:rsidRPr="009259E6">
        <w:rPr>
          <w:rStyle w:val="Allmrkuseviide"/>
          <w:rFonts w:ascii="Arial" w:eastAsia="Arial" w:hAnsi="Arial" w:cs="Arial"/>
          <w:sz w:val="22"/>
          <w:szCs w:val="22"/>
        </w:rPr>
        <w:footnoteReference w:id="19"/>
      </w:r>
      <w:r w:rsidRPr="009259E6">
        <w:rPr>
          <w:rFonts w:ascii="Arial" w:eastAsia="Arial" w:hAnsi="Arial" w:cs="Arial"/>
          <w:sz w:val="22"/>
          <w:szCs w:val="22"/>
        </w:rPr>
        <w:t xml:space="preserve"> Oluline tegur, millega saab mõjutada pensionikindlustuse jätkusuutlikkust, on pensioniiga. Pensioniiga saab tõsta ühekordsete otsustega, kuid samas on võimalik ja otstarbekam kasutada automaatselt kohanduvaid mehhanisme, mis kohandavad pensioniiga vastavalt objektiivsele statistikale.</w:t>
      </w:r>
      <w:r w:rsidRPr="009259E6">
        <w:rPr>
          <w:rStyle w:val="Allmrkuseviide"/>
          <w:rFonts w:ascii="Arial" w:eastAsia="Arial" w:hAnsi="Arial" w:cs="Arial"/>
          <w:sz w:val="22"/>
          <w:szCs w:val="22"/>
        </w:rPr>
        <w:footnoteReference w:id="20"/>
      </w:r>
      <w:r w:rsidRPr="009259E6">
        <w:rPr>
          <w:rFonts w:ascii="Arial" w:hAnsi="Arial" w:cs="Arial"/>
          <w:sz w:val="22"/>
          <w:szCs w:val="22"/>
        </w:rPr>
        <w:t xml:space="preserve"> </w:t>
      </w:r>
      <w:r w:rsidRPr="009259E6">
        <w:rPr>
          <w:rFonts w:ascii="Arial" w:eastAsia="Arial" w:hAnsi="Arial" w:cs="Arial"/>
          <w:sz w:val="22"/>
          <w:szCs w:val="22"/>
        </w:rPr>
        <w:t xml:space="preserve">Selliste mehhanismide eelis seisneb </w:t>
      </w:r>
      <w:proofErr w:type="spellStart"/>
      <w:r w:rsidRPr="009259E6">
        <w:rPr>
          <w:rFonts w:ascii="Arial" w:eastAsia="Arial" w:hAnsi="Arial" w:cs="Arial"/>
          <w:sz w:val="22"/>
          <w:szCs w:val="22"/>
        </w:rPr>
        <w:t>prognoositavuses</w:t>
      </w:r>
      <w:proofErr w:type="spellEnd"/>
      <w:r w:rsidRPr="009259E6">
        <w:rPr>
          <w:rFonts w:ascii="Arial" w:eastAsia="Arial" w:hAnsi="Arial" w:cs="Arial"/>
          <w:sz w:val="22"/>
          <w:szCs w:val="22"/>
        </w:rPr>
        <w:t>: pensioniea muutus sõltub läbipaistvast statistilisest indikaatorist ning aitab vältida olukorda, kus pensionisüsteemi kohandatakse harva ja suurte hüpetega. See on oluline nii avaliku sektori eelarveplaneerimise kui ka inimeste õiguspärase ootuse seisukohalt.</w:t>
      </w:r>
    </w:p>
    <w:p w14:paraId="4EA25D0A" w14:textId="77777777" w:rsidR="006774E3" w:rsidRPr="009259E6" w:rsidRDefault="006774E3" w:rsidP="007C6C64">
      <w:pPr>
        <w:jc w:val="both"/>
        <w:rPr>
          <w:rFonts w:ascii="Arial" w:eastAsia="Arial" w:hAnsi="Arial" w:cs="Arial"/>
          <w:sz w:val="22"/>
          <w:szCs w:val="22"/>
        </w:rPr>
      </w:pPr>
    </w:p>
    <w:p w14:paraId="2C2240A7" w14:textId="16DE25B6" w:rsidR="00644AE0" w:rsidRPr="009259E6" w:rsidRDefault="006774E3" w:rsidP="007C6C64">
      <w:pPr>
        <w:jc w:val="both"/>
        <w:rPr>
          <w:rFonts w:ascii="Arial" w:eastAsia="Arial" w:hAnsi="Arial" w:cs="Arial"/>
          <w:sz w:val="22"/>
          <w:szCs w:val="22"/>
        </w:rPr>
      </w:pPr>
      <w:r w:rsidRPr="009259E6">
        <w:rPr>
          <w:rFonts w:ascii="Arial" w:eastAsia="Arial" w:hAnsi="Arial" w:cs="Arial"/>
          <w:sz w:val="22"/>
          <w:szCs w:val="22"/>
        </w:rPr>
        <w:t>Riikliku vanaduspensioni jätkusuutlikkuse varasemates analüüsides</w:t>
      </w:r>
      <w:r w:rsidRPr="009259E6">
        <w:rPr>
          <w:rStyle w:val="Allmrkuseviide"/>
          <w:rFonts w:ascii="Arial" w:eastAsia="Arial" w:hAnsi="Arial" w:cs="Arial"/>
          <w:sz w:val="22"/>
          <w:szCs w:val="22"/>
        </w:rPr>
        <w:footnoteReference w:id="21"/>
      </w:r>
      <w:r w:rsidRPr="009259E6">
        <w:rPr>
          <w:rFonts w:ascii="Arial" w:eastAsia="Arial" w:hAnsi="Arial" w:cs="Arial"/>
          <w:sz w:val="22"/>
          <w:szCs w:val="22"/>
        </w:rPr>
        <w:t xml:space="preserve"> on leitud, et pensioniea tõstmise mõju riigieelarvele on üldjuhul positiivne: pikem töötamine suurendab sotsiaalmaksu ja muude tööjõumaksude laekumist ning lükkab edasi vanaduspensioni väljamaksmise algust. Ka juhul, kui ühe aasta muudatus on väike, on mehhanismi kumulatiivne mõju pika aja jooksul märkimisväärne, sest see mõjutab samaaegselt nii maksutulude kui pensionikulusid.</w:t>
      </w:r>
    </w:p>
    <w:p w14:paraId="30D5A103" w14:textId="77777777" w:rsidR="00044F03" w:rsidRPr="009259E6" w:rsidRDefault="00044F03" w:rsidP="007C6C64">
      <w:pPr>
        <w:jc w:val="both"/>
        <w:rPr>
          <w:rFonts w:ascii="Arial" w:hAnsi="Arial" w:cs="Arial"/>
          <w:b/>
          <w:bCs/>
          <w:sz w:val="22"/>
          <w:szCs w:val="22"/>
          <w:lang w:eastAsia="et-EE"/>
        </w:rPr>
      </w:pPr>
    </w:p>
    <w:p w14:paraId="06E53EA4" w14:textId="4F209A8B" w:rsidR="00CC1168" w:rsidRPr="009259E6" w:rsidRDefault="7C68E760" w:rsidP="007C6C64">
      <w:pPr>
        <w:jc w:val="both"/>
        <w:rPr>
          <w:rFonts w:ascii="Arial" w:hAnsi="Arial" w:cs="Arial"/>
          <w:i/>
          <w:iCs/>
          <w:sz w:val="22"/>
          <w:szCs w:val="22"/>
        </w:rPr>
      </w:pPr>
      <w:r w:rsidRPr="009259E6">
        <w:rPr>
          <w:rFonts w:ascii="Arial" w:hAnsi="Arial" w:cs="Arial"/>
          <w:b/>
          <w:bCs/>
          <w:sz w:val="22"/>
          <w:szCs w:val="22"/>
          <w:lang w:eastAsia="et-EE"/>
        </w:rPr>
        <w:t xml:space="preserve">5. Määruse </w:t>
      </w:r>
      <w:r w:rsidRPr="009259E6">
        <w:rPr>
          <w:rFonts w:ascii="Arial" w:hAnsi="Arial" w:cs="Arial"/>
          <w:b/>
          <w:bCs/>
          <w:sz w:val="22"/>
          <w:szCs w:val="22"/>
        </w:rPr>
        <w:t>rakendamisega seotud tegevused, vajalikud kulud ja määruse rakendamise eeldatavad tulud</w:t>
      </w:r>
      <w:r w:rsidRPr="009259E6">
        <w:rPr>
          <w:rFonts w:ascii="Arial" w:hAnsi="Arial" w:cs="Arial"/>
          <w:sz w:val="22"/>
          <w:szCs w:val="22"/>
        </w:rPr>
        <w:t xml:space="preserve"> </w:t>
      </w:r>
    </w:p>
    <w:p w14:paraId="06C6B1EF" w14:textId="77777777" w:rsidR="00D52FF8" w:rsidRPr="009259E6" w:rsidRDefault="00D52FF8" w:rsidP="007C6C64">
      <w:pPr>
        <w:jc w:val="both"/>
        <w:rPr>
          <w:rFonts w:ascii="Arial" w:hAnsi="Arial" w:cs="Arial"/>
          <w:sz w:val="22"/>
          <w:szCs w:val="22"/>
        </w:rPr>
      </w:pPr>
    </w:p>
    <w:p w14:paraId="21F9CFFC" w14:textId="171EE790" w:rsidR="00516499" w:rsidRPr="009259E6" w:rsidRDefault="00D52FF8" w:rsidP="007C6C64">
      <w:pPr>
        <w:jc w:val="both"/>
        <w:rPr>
          <w:rFonts w:ascii="Arial" w:hAnsi="Arial" w:cs="Arial"/>
          <w:sz w:val="22"/>
          <w:szCs w:val="22"/>
        </w:rPr>
      </w:pPr>
      <w:r w:rsidRPr="009259E6">
        <w:rPr>
          <w:rFonts w:ascii="Arial" w:hAnsi="Arial" w:cs="Arial"/>
          <w:sz w:val="22"/>
          <w:szCs w:val="22"/>
        </w:rPr>
        <w:t>Määruse rakendamisega ei</w:t>
      </w:r>
      <w:r w:rsidR="00516499" w:rsidRPr="009259E6">
        <w:rPr>
          <w:rFonts w:ascii="Arial" w:hAnsi="Arial" w:cs="Arial"/>
          <w:sz w:val="22"/>
          <w:szCs w:val="22"/>
        </w:rPr>
        <w:t xml:space="preserve"> kaasne SKA-</w:t>
      </w:r>
      <w:proofErr w:type="spellStart"/>
      <w:r w:rsidR="00516499" w:rsidRPr="009259E6">
        <w:rPr>
          <w:rFonts w:ascii="Arial" w:hAnsi="Arial" w:cs="Arial"/>
          <w:sz w:val="22"/>
          <w:szCs w:val="22"/>
        </w:rPr>
        <w:t>le</w:t>
      </w:r>
      <w:proofErr w:type="spellEnd"/>
      <w:r w:rsidR="00516499" w:rsidRPr="009259E6">
        <w:rPr>
          <w:rFonts w:ascii="Arial" w:hAnsi="Arial" w:cs="Arial"/>
          <w:sz w:val="22"/>
          <w:szCs w:val="22"/>
        </w:rPr>
        <w:t xml:space="preserve"> täiendavaid IT-arenduskulusid, kuid töökoormus</w:t>
      </w:r>
      <w:r w:rsidRPr="009259E6">
        <w:rPr>
          <w:rFonts w:ascii="Arial" w:hAnsi="Arial" w:cs="Arial"/>
          <w:sz w:val="22"/>
          <w:szCs w:val="22"/>
        </w:rPr>
        <w:t xml:space="preserve"> võib </w:t>
      </w:r>
      <w:r w:rsidR="00516499" w:rsidRPr="009259E6">
        <w:rPr>
          <w:rFonts w:ascii="Arial" w:hAnsi="Arial" w:cs="Arial"/>
          <w:sz w:val="22"/>
          <w:szCs w:val="22"/>
        </w:rPr>
        <w:t>suurene</w:t>
      </w:r>
      <w:r w:rsidRPr="009259E6">
        <w:rPr>
          <w:rFonts w:ascii="Arial" w:hAnsi="Arial" w:cs="Arial"/>
          <w:sz w:val="22"/>
          <w:szCs w:val="22"/>
        </w:rPr>
        <w:t>da</w:t>
      </w:r>
      <w:r w:rsidR="00516499" w:rsidRPr="009259E6">
        <w:rPr>
          <w:rFonts w:ascii="Arial" w:hAnsi="Arial" w:cs="Arial"/>
          <w:sz w:val="22"/>
          <w:szCs w:val="22"/>
        </w:rPr>
        <w:t xml:space="preserve"> inimeste lisapöördumiste tõttu.</w:t>
      </w:r>
    </w:p>
    <w:p w14:paraId="2303425B" w14:textId="17A63018" w:rsidR="003354E9" w:rsidRPr="009259E6" w:rsidRDefault="00B237D8" w:rsidP="007C6C64">
      <w:pPr>
        <w:pStyle w:val="Normaallaadveeb"/>
        <w:shd w:val="clear" w:color="auto" w:fill="FFFFFF"/>
        <w:spacing w:before="0" w:after="0"/>
        <w:jc w:val="both"/>
        <w:rPr>
          <w:rFonts w:ascii="Arial" w:hAnsi="Arial" w:cs="Arial"/>
          <w:color w:val="242424"/>
          <w:sz w:val="22"/>
          <w:szCs w:val="22"/>
          <w:bdr w:val="none" w:sz="0" w:space="0" w:color="auto" w:frame="1"/>
        </w:rPr>
      </w:pPr>
      <w:r w:rsidRPr="009259E6">
        <w:rPr>
          <w:rFonts w:ascii="Arial" w:hAnsi="Arial" w:cs="Arial"/>
          <w:color w:val="242424"/>
          <w:sz w:val="22"/>
          <w:szCs w:val="22"/>
          <w:bdr w:val="none" w:sz="0" w:space="0" w:color="auto" w:frame="1"/>
        </w:rPr>
        <w:t xml:space="preserve">Eelnõu mõjutab </w:t>
      </w:r>
      <w:r w:rsidR="008A5811" w:rsidRPr="009259E6">
        <w:rPr>
          <w:rFonts w:ascii="Arial" w:hAnsi="Arial" w:cs="Arial"/>
          <w:color w:val="242424"/>
          <w:sz w:val="22"/>
          <w:szCs w:val="22"/>
          <w:bdr w:val="none" w:sz="0" w:space="0" w:color="auto" w:frame="1"/>
        </w:rPr>
        <w:t xml:space="preserve">ka </w:t>
      </w:r>
      <w:r w:rsidRPr="009259E6">
        <w:rPr>
          <w:rFonts w:ascii="Arial" w:hAnsi="Arial" w:cs="Arial"/>
          <w:color w:val="242424"/>
          <w:sz w:val="22"/>
          <w:szCs w:val="22"/>
          <w:bdr w:val="none" w:sz="0" w:space="0" w:color="auto" w:frame="1"/>
        </w:rPr>
        <w:t xml:space="preserve">Töötukassa </w:t>
      </w:r>
      <w:r w:rsidR="008A5811" w:rsidRPr="009259E6">
        <w:rPr>
          <w:rFonts w:ascii="Arial" w:hAnsi="Arial" w:cs="Arial"/>
          <w:color w:val="242424"/>
          <w:sz w:val="22"/>
          <w:szCs w:val="22"/>
          <w:bdr w:val="none" w:sz="0" w:space="0" w:color="auto" w:frame="1"/>
        </w:rPr>
        <w:t xml:space="preserve">töökoormust </w:t>
      </w:r>
      <w:r w:rsidR="00BD7D4B" w:rsidRPr="009259E6">
        <w:rPr>
          <w:rFonts w:ascii="Arial" w:hAnsi="Arial" w:cs="Arial"/>
          <w:color w:val="242424"/>
          <w:sz w:val="22"/>
          <w:szCs w:val="22"/>
          <w:bdr w:val="none" w:sz="0" w:space="0" w:color="auto" w:frame="1"/>
        </w:rPr>
        <w:t xml:space="preserve">ja </w:t>
      </w:r>
      <w:r w:rsidRPr="009259E6">
        <w:rPr>
          <w:rFonts w:ascii="Arial" w:hAnsi="Arial" w:cs="Arial"/>
          <w:color w:val="242424"/>
          <w:sz w:val="22"/>
          <w:szCs w:val="22"/>
          <w:bdr w:val="none" w:sz="0" w:space="0" w:color="auto" w:frame="1"/>
        </w:rPr>
        <w:t xml:space="preserve">kulusid (puudutab kõiki kulukomponente), kuna pensioniea tõusu tulemusena suureneb sihtrühma suurus, kellel on võimalik töötuna arvel olla ja saada hüvitisi, toetusi ja tööturuteenuseid. Lisaks mõjutab ka töövõimetoetuse kulusid, kuna seda tuleb </w:t>
      </w:r>
      <w:r w:rsidR="000F1CFF" w:rsidRPr="009259E6">
        <w:rPr>
          <w:rFonts w:ascii="Arial" w:hAnsi="Arial" w:cs="Arial"/>
          <w:color w:val="242424"/>
          <w:sz w:val="22"/>
          <w:szCs w:val="22"/>
          <w:bdr w:val="none" w:sz="0" w:space="0" w:color="auto" w:frame="1"/>
        </w:rPr>
        <w:t xml:space="preserve">uue </w:t>
      </w:r>
      <w:r w:rsidRPr="009259E6">
        <w:rPr>
          <w:rFonts w:ascii="Arial" w:hAnsi="Arial" w:cs="Arial"/>
          <w:color w:val="242424"/>
          <w:sz w:val="22"/>
          <w:szCs w:val="22"/>
          <w:bdr w:val="none" w:sz="0" w:space="0" w:color="auto" w:frame="1"/>
        </w:rPr>
        <w:t>vanaduspensionieani kauem maksta</w:t>
      </w:r>
      <w:r w:rsidR="008A4450" w:rsidRPr="009259E6">
        <w:rPr>
          <w:rFonts w:ascii="Arial" w:hAnsi="Arial" w:cs="Arial"/>
          <w:color w:val="242424"/>
          <w:sz w:val="22"/>
          <w:szCs w:val="22"/>
          <w:bdr w:val="none" w:sz="0" w:space="0" w:color="auto" w:frame="1"/>
        </w:rPr>
        <w:t xml:space="preserve">. </w:t>
      </w:r>
      <w:r w:rsidR="008A4450" w:rsidRPr="009259E6">
        <w:rPr>
          <w:rFonts w:ascii="Arial" w:hAnsi="Arial" w:cs="Arial"/>
          <w:sz w:val="22"/>
          <w:szCs w:val="22"/>
        </w:rPr>
        <w:t>Töötukassa andmetel, arvestades töövõimetoetuse saajate arvu suurenemist ning töövõimetoetuse keskmise makse suurust, prognoositakse töövõimetoetuse kulude kasvu</w:t>
      </w:r>
      <w:r w:rsidR="009331A2" w:rsidRPr="009259E6">
        <w:rPr>
          <w:rFonts w:ascii="Arial" w:hAnsi="Arial" w:cs="Arial"/>
          <w:sz w:val="22"/>
          <w:szCs w:val="22"/>
        </w:rPr>
        <w:t xml:space="preserve"> 2029. </w:t>
      </w:r>
      <w:r w:rsidR="008A4450" w:rsidRPr="009259E6">
        <w:rPr>
          <w:rFonts w:ascii="Arial" w:hAnsi="Arial" w:cs="Arial"/>
          <w:sz w:val="22"/>
          <w:szCs w:val="22"/>
        </w:rPr>
        <w:t>aastal pensioniea tõusust tulenevalt ligikaudu</w:t>
      </w:r>
      <w:r w:rsidR="009331A2" w:rsidRPr="009259E6">
        <w:rPr>
          <w:rFonts w:ascii="Arial" w:hAnsi="Arial" w:cs="Arial"/>
          <w:sz w:val="22"/>
          <w:szCs w:val="22"/>
        </w:rPr>
        <w:t xml:space="preserve"> 1,8</w:t>
      </w:r>
      <w:r w:rsidR="008A4450" w:rsidRPr="009259E6">
        <w:rPr>
          <w:rFonts w:ascii="Arial" w:hAnsi="Arial" w:cs="Arial"/>
          <w:sz w:val="22"/>
          <w:szCs w:val="22"/>
        </w:rPr>
        <w:t xml:space="preserve"> miljoni</w:t>
      </w:r>
      <w:r w:rsidR="007408EF" w:rsidRPr="009259E6">
        <w:rPr>
          <w:rFonts w:ascii="Arial" w:hAnsi="Arial" w:cs="Arial"/>
          <w:sz w:val="22"/>
          <w:szCs w:val="22"/>
        </w:rPr>
        <w:t xml:space="preserve"> euro võrra</w:t>
      </w:r>
      <w:r w:rsidR="008A4450" w:rsidRPr="009259E6">
        <w:rPr>
          <w:rFonts w:ascii="Arial" w:hAnsi="Arial" w:cs="Arial"/>
          <w:sz w:val="22"/>
          <w:szCs w:val="22"/>
        </w:rPr>
        <w:t>.</w:t>
      </w:r>
    </w:p>
    <w:p w14:paraId="073331EF" w14:textId="77777777" w:rsidR="008A5811" w:rsidRPr="009259E6" w:rsidRDefault="008A5811" w:rsidP="007C6C64">
      <w:pPr>
        <w:jc w:val="both"/>
        <w:rPr>
          <w:rFonts w:ascii="Arial" w:hAnsi="Arial" w:cs="Arial"/>
          <w:b/>
          <w:bCs/>
          <w:sz w:val="22"/>
          <w:szCs w:val="22"/>
          <w:lang w:eastAsia="et-EE"/>
        </w:rPr>
      </w:pPr>
      <w:r w:rsidRPr="009259E6">
        <w:rPr>
          <w:rFonts w:ascii="Arial" w:hAnsi="Arial" w:cs="Arial"/>
          <w:b/>
          <w:bCs/>
          <w:sz w:val="22"/>
          <w:szCs w:val="22"/>
          <w:lang w:eastAsia="et-EE"/>
        </w:rPr>
        <w:t>6. Määruse jõustumine</w:t>
      </w:r>
    </w:p>
    <w:p w14:paraId="520F4F80" w14:textId="77777777" w:rsidR="008A5811" w:rsidRPr="009259E6" w:rsidRDefault="008A5811" w:rsidP="007C6C64">
      <w:pPr>
        <w:rPr>
          <w:rFonts w:ascii="Arial" w:hAnsi="Arial" w:cs="Arial"/>
          <w:sz w:val="22"/>
          <w:szCs w:val="22"/>
          <w:lang w:eastAsia="et-EE"/>
        </w:rPr>
      </w:pPr>
    </w:p>
    <w:p w14:paraId="4B9C3D82" w14:textId="6177B91E" w:rsidR="00D806FE" w:rsidRPr="009259E6" w:rsidRDefault="008A5811" w:rsidP="007C6C64">
      <w:pPr>
        <w:jc w:val="both"/>
        <w:rPr>
          <w:rFonts w:ascii="Arial" w:hAnsi="Arial" w:cs="Arial"/>
          <w:sz w:val="22"/>
          <w:szCs w:val="22"/>
        </w:rPr>
      </w:pPr>
      <w:r w:rsidRPr="009259E6">
        <w:rPr>
          <w:rFonts w:ascii="Arial" w:hAnsi="Arial" w:cs="Arial"/>
          <w:sz w:val="22"/>
          <w:szCs w:val="22"/>
          <w:lang w:eastAsia="et-EE"/>
        </w:rPr>
        <w:t>Määrus</w:t>
      </w:r>
      <w:r w:rsidR="00D806FE" w:rsidRPr="009259E6">
        <w:rPr>
          <w:rFonts w:ascii="Arial" w:hAnsi="Arial" w:cs="Arial"/>
          <w:sz w:val="22"/>
          <w:szCs w:val="22"/>
        </w:rPr>
        <w:t xml:space="preserve">e § 1 punkt 1 jõustub 1. jaanuaril 2027. a. Volitusnormi viide viiakse kooskõlla alates samast kuupäevast kehtiva </w:t>
      </w:r>
      <w:r w:rsidR="00F5358F" w:rsidRPr="009259E6">
        <w:rPr>
          <w:rFonts w:ascii="Arial" w:hAnsi="Arial" w:cs="Arial"/>
          <w:sz w:val="22"/>
          <w:szCs w:val="22"/>
        </w:rPr>
        <w:t xml:space="preserve">RPKS-i </w:t>
      </w:r>
      <w:r w:rsidR="00D806FE" w:rsidRPr="009259E6">
        <w:rPr>
          <w:rFonts w:ascii="Arial" w:hAnsi="Arial" w:cs="Arial"/>
          <w:sz w:val="22"/>
          <w:szCs w:val="22"/>
        </w:rPr>
        <w:t>redaktsiooniga. Ülejäänud muudatused jõustuvad üldises korras pärast määruse avaldamist.</w:t>
      </w:r>
    </w:p>
    <w:p w14:paraId="73A6613A" w14:textId="77777777" w:rsidR="00044F03" w:rsidRPr="009259E6" w:rsidRDefault="00044F03" w:rsidP="007C6C64">
      <w:pPr>
        <w:rPr>
          <w:rFonts w:ascii="Arial" w:hAnsi="Arial" w:cs="Arial"/>
          <w:b/>
          <w:bCs/>
          <w:sz w:val="22"/>
          <w:szCs w:val="22"/>
          <w:lang w:eastAsia="et-EE"/>
        </w:rPr>
      </w:pPr>
    </w:p>
    <w:p w14:paraId="6FC016FE" w14:textId="77777777" w:rsidR="00BC32D1" w:rsidRPr="009259E6" w:rsidRDefault="7C68E760" w:rsidP="007C6C64">
      <w:pPr>
        <w:rPr>
          <w:rFonts w:ascii="Arial" w:hAnsi="Arial" w:cs="Arial"/>
          <w:b/>
          <w:bCs/>
          <w:sz w:val="22"/>
          <w:szCs w:val="22"/>
        </w:rPr>
      </w:pPr>
      <w:r w:rsidRPr="009259E6">
        <w:rPr>
          <w:rFonts w:ascii="Arial" w:hAnsi="Arial" w:cs="Arial"/>
          <w:b/>
          <w:bCs/>
          <w:sz w:val="22"/>
          <w:szCs w:val="22"/>
          <w:lang w:eastAsia="et-EE"/>
        </w:rPr>
        <w:t xml:space="preserve">7. Eelnõu kooskõlastamine, </w:t>
      </w:r>
      <w:r w:rsidRPr="009259E6">
        <w:rPr>
          <w:rFonts w:ascii="Arial" w:hAnsi="Arial" w:cs="Arial"/>
          <w:b/>
          <w:bCs/>
          <w:sz w:val="22"/>
          <w:szCs w:val="22"/>
        </w:rPr>
        <w:t>huvirühmade kaasamine ja avalik konsultatsioon</w:t>
      </w:r>
    </w:p>
    <w:p w14:paraId="08633859" w14:textId="77777777" w:rsidR="00BC32D1" w:rsidRPr="009259E6" w:rsidRDefault="00BC32D1" w:rsidP="007C6C64">
      <w:pPr>
        <w:rPr>
          <w:rFonts w:ascii="Arial" w:hAnsi="Arial" w:cs="Arial"/>
          <w:b/>
          <w:bCs/>
          <w:sz w:val="22"/>
          <w:szCs w:val="22"/>
        </w:rPr>
      </w:pPr>
    </w:p>
    <w:p w14:paraId="4A163A80" w14:textId="5D8FC5B5" w:rsidR="00BC32D1" w:rsidRPr="009259E6" w:rsidRDefault="00BC32D1" w:rsidP="007C6C64">
      <w:pPr>
        <w:jc w:val="both"/>
        <w:rPr>
          <w:rFonts w:ascii="Arial" w:hAnsi="Arial" w:cs="Arial"/>
          <w:b/>
          <w:bCs/>
          <w:sz w:val="22"/>
          <w:szCs w:val="22"/>
          <w:lang w:eastAsia="et-EE"/>
        </w:rPr>
      </w:pPr>
      <w:r w:rsidRPr="009259E6">
        <w:rPr>
          <w:rFonts w:ascii="Arial" w:hAnsi="Arial" w:cs="Arial"/>
          <w:sz w:val="22"/>
          <w:szCs w:val="22"/>
        </w:rPr>
        <w:lastRenderedPageBreak/>
        <w:t>Eelnõu esitat</w:t>
      </w:r>
      <w:r w:rsidR="00F17DEB" w:rsidRPr="009259E6">
        <w:rPr>
          <w:rFonts w:ascii="Arial" w:hAnsi="Arial" w:cs="Arial"/>
          <w:sz w:val="22"/>
          <w:szCs w:val="22"/>
        </w:rPr>
        <w:t xml:space="preserve">akse </w:t>
      </w:r>
      <w:r w:rsidRPr="009259E6">
        <w:rPr>
          <w:rFonts w:ascii="Arial" w:hAnsi="Arial" w:cs="Arial"/>
          <w:sz w:val="22"/>
          <w:szCs w:val="22"/>
        </w:rPr>
        <w:t>eelnõude infosüsteemi kaudu kooskõlastamiseks</w:t>
      </w:r>
      <w:r w:rsidR="0044470D" w:rsidRPr="009259E6">
        <w:rPr>
          <w:rFonts w:ascii="Arial" w:hAnsi="Arial" w:cs="Arial"/>
          <w:sz w:val="22"/>
          <w:szCs w:val="22"/>
        </w:rPr>
        <w:t xml:space="preserve"> Rahandusministeeriumile </w:t>
      </w:r>
      <w:r w:rsidR="00F31B4A" w:rsidRPr="009259E6">
        <w:rPr>
          <w:rFonts w:ascii="Arial" w:hAnsi="Arial" w:cs="Arial"/>
          <w:sz w:val="22"/>
          <w:szCs w:val="22"/>
        </w:rPr>
        <w:t>ning</w:t>
      </w:r>
      <w:r w:rsidR="00051007" w:rsidRPr="009259E6">
        <w:rPr>
          <w:rFonts w:ascii="Arial" w:hAnsi="Arial" w:cs="Arial"/>
          <w:sz w:val="22"/>
          <w:szCs w:val="22"/>
        </w:rPr>
        <w:t xml:space="preserve"> Majandus-</w:t>
      </w:r>
      <w:r w:rsidR="004A02CF" w:rsidRPr="009259E6">
        <w:rPr>
          <w:rFonts w:ascii="Arial" w:hAnsi="Arial" w:cs="Arial"/>
          <w:sz w:val="22"/>
          <w:szCs w:val="22"/>
        </w:rPr>
        <w:t xml:space="preserve"> </w:t>
      </w:r>
      <w:r w:rsidR="00F31B4A" w:rsidRPr="009259E6">
        <w:rPr>
          <w:rFonts w:ascii="Arial" w:hAnsi="Arial" w:cs="Arial"/>
          <w:sz w:val="22"/>
          <w:szCs w:val="22"/>
        </w:rPr>
        <w:t>ja Kommunikatsiooniministeeriumile</w:t>
      </w:r>
      <w:r w:rsidRPr="009259E6">
        <w:rPr>
          <w:rFonts w:ascii="Arial" w:hAnsi="Arial" w:cs="Arial"/>
          <w:sz w:val="22"/>
          <w:szCs w:val="22"/>
        </w:rPr>
        <w:t xml:space="preserve"> ning arvamuse avaldamiseks Sotsiaalkindlustusametile, Eesti Töötukassale ja Eesti Pensionäride Ühenduste Liidule.</w:t>
      </w:r>
    </w:p>
    <w:p w14:paraId="4314586D" w14:textId="188A18EA" w:rsidR="00BC32D1" w:rsidRPr="009259E6" w:rsidRDefault="00BC32D1" w:rsidP="007C6C64">
      <w:pPr>
        <w:pStyle w:val="paragraph"/>
        <w:spacing w:before="0" w:beforeAutospacing="0" w:after="0" w:afterAutospacing="0"/>
        <w:ind w:left="-15" w:right="60"/>
        <w:jc w:val="both"/>
        <w:textAlignment w:val="baseline"/>
        <w:rPr>
          <w:rStyle w:val="eop"/>
          <w:rFonts w:ascii="Arial" w:hAnsi="Arial" w:cs="Arial"/>
          <w:sz w:val="22"/>
          <w:szCs w:val="22"/>
        </w:rPr>
      </w:pPr>
    </w:p>
    <w:sectPr w:rsidR="00BC32D1" w:rsidRPr="009259E6" w:rsidSect="000766B9">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FD1D8" w14:textId="77777777" w:rsidR="00421F1A" w:rsidRDefault="00421F1A" w:rsidP="003354E9">
      <w:r>
        <w:separator/>
      </w:r>
    </w:p>
  </w:endnote>
  <w:endnote w:type="continuationSeparator" w:id="0">
    <w:p w14:paraId="63A57FE9" w14:textId="77777777" w:rsidR="00421F1A" w:rsidRDefault="00421F1A" w:rsidP="0033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247484"/>
      <w:docPartObj>
        <w:docPartGallery w:val="Page Numbers (Bottom of Page)"/>
        <w:docPartUnique/>
      </w:docPartObj>
    </w:sdtPr>
    <w:sdtEndPr/>
    <w:sdtContent>
      <w:p w14:paraId="1A84294A" w14:textId="74EF77A9" w:rsidR="003354E9" w:rsidRDefault="003354E9">
        <w:pPr>
          <w:pStyle w:val="Jalus"/>
          <w:jc w:val="right"/>
        </w:pPr>
        <w:r>
          <w:fldChar w:fldCharType="begin"/>
        </w:r>
        <w:r>
          <w:instrText>PAGE   \* MERGEFORMAT</w:instrText>
        </w:r>
        <w:r>
          <w:fldChar w:fldCharType="separate"/>
        </w:r>
        <w:r>
          <w:t>2</w:t>
        </w:r>
        <w:r>
          <w:fldChar w:fldCharType="end"/>
        </w:r>
      </w:p>
    </w:sdtContent>
  </w:sdt>
  <w:p w14:paraId="1844BF3B" w14:textId="77777777" w:rsidR="003354E9" w:rsidRDefault="003354E9">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893A9" w14:textId="77777777" w:rsidR="00421F1A" w:rsidRDefault="00421F1A" w:rsidP="003354E9">
      <w:r>
        <w:separator/>
      </w:r>
    </w:p>
  </w:footnote>
  <w:footnote w:type="continuationSeparator" w:id="0">
    <w:p w14:paraId="459C342C" w14:textId="77777777" w:rsidR="00421F1A" w:rsidRDefault="00421F1A" w:rsidP="003354E9">
      <w:r>
        <w:continuationSeparator/>
      </w:r>
    </w:p>
  </w:footnote>
  <w:footnote w:id="1">
    <w:p w14:paraId="76419B1E" w14:textId="77777777" w:rsidR="006774E3" w:rsidRDefault="006774E3" w:rsidP="006774E3">
      <w:pPr>
        <w:pStyle w:val="Allmrkusetekst"/>
      </w:pPr>
      <w:r>
        <w:rPr>
          <w:rStyle w:val="Allmrkuseviide"/>
        </w:rPr>
        <w:footnoteRef/>
      </w:r>
      <w:r>
        <w:t xml:space="preserve"> </w:t>
      </w:r>
      <w:hyperlink r:id="rId1" w:history="1">
        <w:r w:rsidRPr="00EC4DDD">
          <w:rPr>
            <w:rStyle w:val="Hperlink"/>
          </w:rPr>
          <w:t>https://andmed.stat.ee/et/stat/rahvastik__rahvastikunaitajad-ja-koosseis__rahvaarv-ja-rahvastiku-koosseis/RV083</w:t>
        </w:r>
      </w:hyperlink>
    </w:p>
  </w:footnote>
  <w:footnote w:id="2">
    <w:p w14:paraId="4DE8C5B5" w14:textId="706FE961" w:rsidR="006774E3" w:rsidRDefault="006774E3" w:rsidP="006774E3">
      <w:pPr>
        <w:pStyle w:val="Allmrkusetekst"/>
      </w:pPr>
      <w:r>
        <w:rPr>
          <w:rStyle w:val="Allmrkuseviide"/>
        </w:rPr>
        <w:footnoteRef/>
      </w:r>
      <w:r>
        <w:t xml:space="preserve"> </w:t>
      </w:r>
      <w:r>
        <w:t xml:space="preserve">Statistikaameti andmetel oli seisuga 01.01.2026 tööealisi (vanuses 18–64) 815 319 ja pensionäre (65+) 290 944 </w:t>
      </w:r>
      <w:hyperlink r:id="rId2" w:history="1">
        <w:r w:rsidRPr="00913C2B">
          <w:rPr>
            <w:rStyle w:val="Hperlink"/>
          </w:rPr>
          <w:t>RV0212: RAHVASTIK AASTA ALGUSES JA AASTAKESKMINE RAHVAARV SOO JA VANUSE JÄRGI. Statistika andmebaas</w:t>
        </w:r>
      </w:hyperlink>
    </w:p>
  </w:footnote>
  <w:footnote w:id="3">
    <w:p w14:paraId="75F59BAC" w14:textId="77777777" w:rsidR="006774E3" w:rsidRDefault="006774E3" w:rsidP="006774E3">
      <w:pPr>
        <w:pStyle w:val="Allmrkusetekst"/>
      </w:pPr>
      <w:r>
        <w:rPr>
          <w:rStyle w:val="Allmrkuseviide"/>
        </w:rPr>
        <w:footnoteRef/>
      </w:r>
      <w:r>
        <w:t xml:space="preserve"> </w:t>
      </w:r>
      <w:hyperlink r:id="rId3" w:history="1">
        <w:proofErr w:type="spellStart"/>
        <w:r w:rsidRPr="00B5628F">
          <w:rPr>
            <w:rStyle w:val="Hperlink"/>
          </w:rPr>
          <w:t>Short</w:t>
        </w:r>
        <w:proofErr w:type="spellEnd"/>
        <w:r w:rsidRPr="00B5628F">
          <w:rPr>
            <w:rStyle w:val="Hperlink"/>
          </w:rPr>
          <w:t xml:space="preserve">-term </w:t>
        </w:r>
        <w:proofErr w:type="spellStart"/>
        <w:r w:rsidRPr="00B5628F">
          <w:rPr>
            <w:rStyle w:val="Hperlink"/>
          </w:rPr>
          <w:t>population</w:t>
        </w:r>
        <w:proofErr w:type="spellEnd"/>
        <w:r w:rsidRPr="00B5628F">
          <w:rPr>
            <w:rStyle w:val="Hperlink"/>
          </w:rPr>
          <w:t xml:space="preserve"> </w:t>
        </w:r>
        <w:proofErr w:type="spellStart"/>
        <w:r w:rsidRPr="00B5628F">
          <w:rPr>
            <w:rStyle w:val="Hperlink"/>
          </w:rPr>
          <w:t>projections</w:t>
        </w:r>
        <w:proofErr w:type="spellEnd"/>
        <w:r w:rsidRPr="00B5628F">
          <w:rPr>
            <w:rStyle w:val="Hperlink"/>
          </w:rPr>
          <w:t xml:space="preserve"> (2024-2050) [proj_stp25]</w:t>
        </w:r>
      </w:hyperlink>
      <w:r>
        <w:t xml:space="preserve">. 2025.aastali oli 15-74 aastaste osakaal rahvastikult Eestis 74,7%; 2050 aastal prognoositakse 72,3% </w:t>
      </w:r>
    </w:p>
  </w:footnote>
  <w:footnote w:id="4">
    <w:p w14:paraId="6A621D67" w14:textId="77777777" w:rsidR="006774E3" w:rsidRDefault="006774E3" w:rsidP="006774E3">
      <w:pPr>
        <w:pStyle w:val="Allmrkusetekst"/>
      </w:pPr>
      <w:r>
        <w:rPr>
          <w:rStyle w:val="Allmrkuseviide"/>
        </w:rPr>
        <w:footnoteRef/>
      </w:r>
      <w:r w:rsidRPr="01DB5230">
        <w:t xml:space="preserve"> </w:t>
      </w:r>
      <w:hyperlink r:id="rId4" w:history="1">
        <w:r w:rsidRPr="00312E83">
          <w:rPr>
            <w:rStyle w:val="Hperlink"/>
          </w:rPr>
          <w:t xml:space="preserve">[proj_25nalexp] </w:t>
        </w:r>
        <w:proofErr w:type="spellStart"/>
        <w:r w:rsidRPr="00312E83">
          <w:rPr>
            <w:rStyle w:val="Hperlink"/>
          </w:rPr>
          <w:t>Projected</w:t>
        </w:r>
        <w:proofErr w:type="spellEnd"/>
        <w:r w:rsidRPr="00312E83">
          <w:rPr>
            <w:rStyle w:val="Hperlink"/>
          </w:rPr>
          <w:t xml:space="preserve"> </w:t>
        </w:r>
        <w:proofErr w:type="spellStart"/>
        <w:r w:rsidRPr="00312E83">
          <w:rPr>
            <w:rStyle w:val="Hperlink"/>
          </w:rPr>
          <w:t>life</w:t>
        </w:r>
        <w:proofErr w:type="spellEnd"/>
        <w:r w:rsidRPr="00312E83">
          <w:rPr>
            <w:rStyle w:val="Hperlink"/>
          </w:rPr>
          <w:t xml:space="preserve"> </w:t>
        </w:r>
        <w:proofErr w:type="spellStart"/>
        <w:r w:rsidRPr="00312E83">
          <w:rPr>
            <w:rStyle w:val="Hperlink"/>
          </w:rPr>
          <w:t>expectancy</w:t>
        </w:r>
        <w:proofErr w:type="spellEnd"/>
        <w:r w:rsidRPr="00312E83">
          <w:rPr>
            <w:rStyle w:val="Hperlink"/>
          </w:rPr>
          <w:t xml:space="preserve"> by </w:t>
        </w:r>
        <w:proofErr w:type="spellStart"/>
        <w:r w:rsidRPr="00312E83">
          <w:rPr>
            <w:rStyle w:val="Hperlink"/>
          </w:rPr>
          <w:t>age</w:t>
        </w:r>
        <w:proofErr w:type="spellEnd"/>
        <w:r w:rsidRPr="00312E83">
          <w:rPr>
            <w:rStyle w:val="Hperlink"/>
          </w:rPr>
          <w:t xml:space="preserve">, </w:t>
        </w:r>
        <w:proofErr w:type="spellStart"/>
        <w:r w:rsidRPr="00312E83">
          <w:rPr>
            <w:rStyle w:val="Hperlink"/>
          </w:rPr>
          <w:t>sex</w:t>
        </w:r>
        <w:proofErr w:type="spellEnd"/>
        <w:r w:rsidRPr="00312E83">
          <w:rPr>
            <w:rStyle w:val="Hperlink"/>
          </w:rPr>
          <w:t xml:space="preserve"> and </w:t>
        </w:r>
        <w:proofErr w:type="spellStart"/>
        <w:r w:rsidRPr="00312E83">
          <w:rPr>
            <w:rStyle w:val="Hperlink"/>
          </w:rPr>
          <w:t>type</w:t>
        </w:r>
        <w:proofErr w:type="spellEnd"/>
        <w:r w:rsidRPr="00312E83">
          <w:rPr>
            <w:rStyle w:val="Hperlink"/>
          </w:rPr>
          <w:t xml:space="preserve"> of </w:t>
        </w:r>
        <w:proofErr w:type="spellStart"/>
        <w:r w:rsidRPr="00312E83">
          <w:rPr>
            <w:rStyle w:val="Hperlink"/>
          </w:rPr>
          <w:t>projection</w:t>
        </w:r>
        <w:proofErr w:type="spellEnd"/>
      </w:hyperlink>
    </w:p>
  </w:footnote>
  <w:footnote w:id="5">
    <w:p w14:paraId="510EE570" w14:textId="77777777" w:rsidR="006774E3" w:rsidRDefault="006774E3" w:rsidP="006774E3">
      <w:pPr>
        <w:pStyle w:val="Allmrkusetekst"/>
      </w:pPr>
      <w:r>
        <w:rPr>
          <w:rStyle w:val="Allmrkuseviide"/>
        </w:rPr>
        <w:footnoteRef/>
      </w:r>
      <w:r w:rsidRPr="01DB5230">
        <w:t xml:space="preserve"> </w:t>
      </w:r>
      <w:r w:rsidRPr="00104879">
        <w:t>Statistikaameti rahvastikuprognoosi järgi suureneb 65-aastaste ja vanemate inimeste osakaal 2040. aastaks 2</w:t>
      </w:r>
      <w:r>
        <w:t>4</w:t>
      </w:r>
      <w:r w:rsidRPr="00104879">
        <w:t>,6%-</w:t>
      </w:r>
      <w:proofErr w:type="spellStart"/>
      <w:r w:rsidRPr="00104879">
        <w:t>ni</w:t>
      </w:r>
      <w:proofErr w:type="spellEnd"/>
      <w:r>
        <w:t xml:space="preserve"> (jaanuar 2026. 21,4%)</w:t>
      </w:r>
      <w:r w:rsidRPr="01DB5230">
        <w:t>.</w:t>
      </w:r>
    </w:p>
  </w:footnote>
  <w:footnote w:id="6">
    <w:p w14:paraId="4384DE8B" w14:textId="77777777" w:rsidR="006774E3" w:rsidRDefault="006774E3" w:rsidP="006774E3">
      <w:r>
        <w:rPr>
          <w:rStyle w:val="Allmrkuseviide"/>
        </w:rPr>
        <w:footnoteRef/>
      </w:r>
      <w:r>
        <w:t xml:space="preserve"> </w:t>
      </w:r>
      <w:hyperlink r:id="rId5" w:history="1">
        <w:r w:rsidRPr="009150DD">
          <w:rPr>
            <w:rStyle w:val="Hperlink"/>
            <w:sz w:val="20"/>
            <w:szCs w:val="20"/>
          </w:rPr>
          <w:t>https://www.oecd.org/en/publications/oecd-employment-outlook-2025_194a947b-en/full-report/navigating-the-golden-years-making-the-labour-market-work-for-older-workers_2bc681ed.html</w:t>
        </w:r>
      </w:hyperlink>
    </w:p>
  </w:footnote>
  <w:footnote w:id="7">
    <w:p w14:paraId="5B5A40B4" w14:textId="77777777" w:rsidR="006774E3" w:rsidRDefault="006774E3" w:rsidP="006774E3">
      <w:pPr>
        <w:pStyle w:val="Allmrkusetekst"/>
      </w:pPr>
      <w:r>
        <w:rPr>
          <w:rStyle w:val="Allmrkuseviide"/>
        </w:rPr>
        <w:footnoteRef/>
      </w:r>
      <w:r>
        <w:t xml:space="preserve"> </w:t>
      </w:r>
      <w:r>
        <w:t>Kogu elanikkonna suhtelise vaesuse määr oli Statistikaameti andmetel 2024. aastal 19,5%.</w:t>
      </w:r>
    </w:p>
  </w:footnote>
  <w:footnote w:id="8">
    <w:p w14:paraId="30711ACC" w14:textId="77777777" w:rsidR="006774E3" w:rsidRDefault="006774E3" w:rsidP="006774E3">
      <w:pPr>
        <w:pStyle w:val="Allmrkusetekst"/>
      </w:pPr>
      <w:r w:rsidRPr="10F5836B">
        <w:rPr>
          <w:rStyle w:val="Allmrkuseviide"/>
        </w:rPr>
        <w:footnoteRef/>
      </w:r>
      <w:r>
        <w:t xml:space="preserve"> </w:t>
      </w:r>
      <w:r>
        <w:t>Netopensioni asendusmäär on määratletud kui individuaalne netopension, mis on jagatud pensionieelse netopalgaga, võttes arvesse üksikisiku tulumaksu ning töötajate ja pensionäride tasutud sotsiaalkindlustusmakseid.</w:t>
      </w:r>
    </w:p>
  </w:footnote>
  <w:footnote w:id="9">
    <w:p w14:paraId="7E1DE30A" w14:textId="6FA0AB69" w:rsidR="006774E3" w:rsidRPr="00A542F6" w:rsidRDefault="006774E3" w:rsidP="006774E3">
      <w:pPr>
        <w:pStyle w:val="Allmrkusetekst"/>
      </w:pPr>
      <w:r w:rsidRPr="10F5836B">
        <w:rPr>
          <w:rStyle w:val="Allmrkuseviide"/>
        </w:rPr>
        <w:footnoteRef/>
      </w:r>
      <w:r>
        <w:rPr>
          <w:color w:val="003471"/>
          <w:u w:val="single"/>
        </w:rPr>
        <w:t xml:space="preserve"> </w:t>
      </w:r>
      <w:hyperlink r:id="rId6" w:history="1">
        <w:proofErr w:type="spellStart"/>
        <w:r w:rsidRPr="00C33FEE">
          <w:rPr>
            <w:rStyle w:val="Hperlink"/>
          </w:rPr>
          <w:t>Pensions</w:t>
        </w:r>
        <w:proofErr w:type="spellEnd"/>
        <w:r w:rsidRPr="00C33FEE">
          <w:rPr>
            <w:rStyle w:val="Hperlink"/>
          </w:rPr>
          <w:t xml:space="preserve"> at a </w:t>
        </w:r>
        <w:proofErr w:type="spellStart"/>
        <w:r w:rsidRPr="00C33FEE">
          <w:rPr>
            <w:rStyle w:val="Hperlink"/>
          </w:rPr>
          <w:t>Glance</w:t>
        </w:r>
        <w:proofErr w:type="spellEnd"/>
        <w:r w:rsidRPr="00C33FEE">
          <w:rPr>
            <w:rStyle w:val="Hperlink"/>
          </w:rPr>
          <w:t xml:space="preserve"> 2025 (EN)</w:t>
        </w:r>
      </w:hyperlink>
      <w:r>
        <w:rPr>
          <w:color w:val="003471"/>
          <w:u w:val="single"/>
        </w:rPr>
        <w:t xml:space="preserve"> </w:t>
      </w:r>
      <w:r w:rsidRPr="00ED21C5">
        <w:t>(</w:t>
      </w:r>
      <w:r>
        <w:t>lk</w:t>
      </w:r>
      <w:r w:rsidRPr="00A542F6">
        <w:t xml:space="preserve"> 169 </w:t>
      </w:r>
      <w:proofErr w:type="spellStart"/>
      <w:r w:rsidRPr="00A542F6">
        <w:t>table</w:t>
      </w:r>
      <w:proofErr w:type="spellEnd"/>
      <w:r w:rsidRPr="00A542F6">
        <w:t xml:space="preserve"> 4.4.</w:t>
      </w:r>
      <w:r>
        <w:t>)</w:t>
      </w:r>
    </w:p>
  </w:footnote>
  <w:footnote w:id="10">
    <w:p w14:paraId="5B9BFC27" w14:textId="77777777" w:rsidR="006774E3" w:rsidRDefault="006774E3" w:rsidP="006774E3">
      <w:pPr>
        <w:pStyle w:val="Allmrkusetekst"/>
      </w:pPr>
      <w:r w:rsidRPr="10F5836B">
        <w:rPr>
          <w:rStyle w:val="Allmrkuseviide"/>
        </w:rPr>
        <w:footnoteRef/>
      </w:r>
      <w:r>
        <w:t xml:space="preserve"> </w:t>
      </w:r>
      <w:hyperlink r:id="rId7" w:history="1">
        <w:r w:rsidRPr="00E269B1">
          <w:rPr>
            <w:rStyle w:val="Hperlink"/>
          </w:rPr>
          <w:t>https://op.europa.eu/en/publication-detail/-/publication/c854e35f-2eb1-11ef-a61b-01aa75ed71a1/language-en</w:t>
        </w:r>
      </w:hyperlink>
      <w:r>
        <w:t xml:space="preserve"> (lk 67, </w:t>
      </w:r>
      <w:proofErr w:type="spellStart"/>
      <w:r>
        <w:t>Table</w:t>
      </w:r>
      <w:proofErr w:type="spellEnd"/>
      <w:r>
        <w:t xml:space="preserve"> 5)</w:t>
      </w:r>
    </w:p>
  </w:footnote>
  <w:footnote w:id="11">
    <w:p w14:paraId="0A255863" w14:textId="77777777" w:rsidR="006774E3" w:rsidRDefault="006774E3" w:rsidP="006774E3">
      <w:pPr>
        <w:pStyle w:val="Allmrkusetekst"/>
      </w:pPr>
      <w:r w:rsidRPr="10F5836B">
        <w:rPr>
          <w:rStyle w:val="Allmrkuseviide"/>
        </w:rPr>
        <w:footnoteRef/>
      </w:r>
      <w:r>
        <w:t xml:space="preserve"> </w:t>
      </w:r>
      <w:hyperlink r:id="rId8" w:history="1">
        <w:r w:rsidRPr="007B648E">
          <w:rPr>
            <w:rStyle w:val="Hperlink"/>
          </w:rPr>
          <w:t>vanemaealised_tooturul_loppraport.pdf</w:t>
        </w:r>
      </w:hyperlink>
    </w:p>
  </w:footnote>
  <w:footnote w:id="12">
    <w:p w14:paraId="55BC76E0" w14:textId="77777777" w:rsidR="006774E3" w:rsidRDefault="006774E3" w:rsidP="006774E3">
      <w:r w:rsidRPr="10F5836B">
        <w:rPr>
          <w:rStyle w:val="Allmrkuseviide"/>
        </w:rPr>
        <w:footnoteRef/>
      </w:r>
      <w:r>
        <w:t xml:space="preserve"> </w:t>
      </w:r>
      <w:hyperlink r:id="rId9">
        <w:r w:rsidRPr="10F5836B">
          <w:rPr>
            <w:rStyle w:val="Hperlink"/>
            <w:sz w:val="20"/>
            <w:szCs w:val="20"/>
          </w:rPr>
          <w:t>https://www.sm.ee/sites/default/files/documents/2023-04/Heaolu%20arengukava%202023-2030.pdf</w:t>
        </w:r>
      </w:hyperlink>
      <w:r>
        <w:rPr>
          <w:rStyle w:val="Hperlink"/>
          <w:sz w:val="20"/>
          <w:szCs w:val="20"/>
        </w:rPr>
        <w:t>.</w:t>
      </w:r>
    </w:p>
  </w:footnote>
  <w:footnote w:id="13">
    <w:p w14:paraId="3A294FF5" w14:textId="77777777" w:rsidR="006774E3" w:rsidRDefault="006774E3" w:rsidP="006774E3">
      <w:pPr>
        <w:pStyle w:val="Allmrkusetekst"/>
      </w:pPr>
      <w:r>
        <w:rPr>
          <w:rStyle w:val="Allmrkuseviide"/>
        </w:rPr>
        <w:footnoteRef/>
      </w:r>
      <w:r>
        <w:t xml:space="preserve"> </w:t>
      </w:r>
      <w:r w:rsidRPr="003B5ED7">
        <w:t xml:space="preserve">OECD (2024) </w:t>
      </w:r>
      <w:hyperlink r:id="rId10" w:history="1">
        <w:proofErr w:type="spellStart"/>
        <w:r w:rsidRPr="00473AFA">
          <w:rPr>
            <w:rStyle w:val="Hperlink"/>
          </w:rPr>
          <w:t>Is</w:t>
        </w:r>
        <w:proofErr w:type="spellEnd"/>
        <w:r w:rsidRPr="00473AFA">
          <w:rPr>
            <w:rStyle w:val="Hperlink"/>
          </w:rPr>
          <w:t xml:space="preserve"> </w:t>
        </w:r>
        <w:proofErr w:type="spellStart"/>
        <w:r w:rsidRPr="00473AFA">
          <w:rPr>
            <w:rStyle w:val="Hperlink"/>
          </w:rPr>
          <w:t>it</w:t>
        </w:r>
        <w:proofErr w:type="spellEnd"/>
        <w:r w:rsidRPr="00473AFA">
          <w:rPr>
            <w:rStyle w:val="Hperlink"/>
          </w:rPr>
          <w:t xml:space="preserve"> </w:t>
        </w:r>
        <w:proofErr w:type="spellStart"/>
        <w:r w:rsidRPr="00473AFA">
          <w:rPr>
            <w:rStyle w:val="Hperlink"/>
          </w:rPr>
          <w:t>worth</w:t>
        </w:r>
        <w:proofErr w:type="spellEnd"/>
        <w:r w:rsidRPr="00473AFA">
          <w:rPr>
            <w:rStyle w:val="Hperlink"/>
          </w:rPr>
          <w:t xml:space="preserve"> </w:t>
        </w:r>
        <w:proofErr w:type="spellStart"/>
        <w:r w:rsidRPr="00473AFA">
          <w:rPr>
            <w:rStyle w:val="Hperlink"/>
          </w:rPr>
          <w:t>raising</w:t>
        </w:r>
        <w:proofErr w:type="spellEnd"/>
        <w:r w:rsidRPr="00473AFA">
          <w:rPr>
            <w:rStyle w:val="Hperlink"/>
          </w:rPr>
          <w:t xml:space="preserve"> </w:t>
        </w:r>
        <w:proofErr w:type="spellStart"/>
        <w:r w:rsidRPr="00473AFA">
          <w:rPr>
            <w:rStyle w:val="Hperlink"/>
          </w:rPr>
          <w:t>the</w:t>
        </w:r>
        <w:proofErr w:type="spellEnd"/>
        <w:r w:rsidRPr="00473AFA">
          <w:rPr>
            <w:rStyle w:val="Hperlink"/>
          </w:rPr>
          <w:t xml:space="preserve"> </w:t>
        </w:r>
        <w:proofErr w:type="spellStart"/>
        <w:r w:rsidRPr="00473AFA">
          <w:rPr>
            <w:rStyle w:val="Hperlink"/>
          </w:rPr>
          <w:t>normal</w:t>
        </w:r>
        <w:proofErr w:type="spellEnd"/>
        <w:r w:rsidRPr="00473AFA">
          <w:rPr>
            <w:rStyle w:val="Hperlink"/>
          </w:rPr>
          <w:t xml:space="preserve"> </w:t>
        </w:r>
        <w:proofErr w:type="spellStart"/>
        <w:r w:rsidRPr="00473AFA">
          <w:rPr>
            <w:rStyle w:val="Hperlink"/>
          </w:rPr>
          <w:t>retirement</w:t>
        </w:r>
        <w:proofErr w:type="spellEnd"/>
        <w:r w:rsidRPr="00473AFA">
          <w:rPr>
            <w:rStyle w:val="Hperlink"/>
          </w:rPr>
          <w:t xml:space="preserve"> </w:t>
        </w:r>
        <w:proofErr w:type="spellStart"/>
        <w:r w:rsidRPr="00473AFA">
          <w:rPr>
            <w:rStyle w:val="Hperlink"/>
          </w:rPr>
          <w:t>age</w:t>
        </w:r>
        <w:proofErr w:type="spellEnd"/>
        <w:r w:rsidRPr="00473AFA">
          <w:rPr>
            <w:rStyle w:val="Hperlink"/>
          </w:rPr>
          <w:t xml:space="preserve">? </w:t>
        </w:r>
      </w:hyperlink>
    </w:p>
  </w:footnote>
  <w:footnote w:id="14">
    <w:p w14:paraId="5DED4903" w14:textId="77777777" w:rsidR="006774E3" w:rsidRDefault="006774E3" w:rsidP="006774E3">
      <w:pPr>
        <w:pStyle w:val="Allmrkusetekst"/>
      </w:pPr>
      <w:r>
        <w:rPr>
          <w:rStyle w:val="Allmrkuseviide"/>
        </w:rPr>
        <w:footnoteRef/>
      </w:r>
      <w:r>
        <w:t xml:space="preserve"> </w:t>
      </w:r>
      <w:proofErr w:type="spellStart"/>
      <w:r w:rsidRPr="0022655D">
        <w:t>Geppert</w:t>
      </w:r>
      <w:proofErr w:type="spellEnd"/>
      <w:r w:rsidRPr="0022655D">
        <w:t xml:space="preserve"> et </w:t>
      </w:r>
      <w:proofErr w:type="spellStart"/>
      <w:r w:rsidRPr="0022655D">
        <w:t>al</w:t>
      </w:r>
      <w:proofErr w:type="spellEnd"/>
      <w:r w:rsidRPr="0022655D">
        <w:t xml:space="preserve">. (2019) </w:t>
      </w:r>
      <w:hyperlink r:id="rId11" w:history="1">
        <w:proofErr w:type="spellStart"/>
        <w:r w:rsidRPr="00A440AB">
          <w:rPr>
            <w:rStyle w:val="Hperlink"/>
          </w:rPr>
          <w:t>Labour</w:t>
        </w:r>
        <w:proofErr w:type="spellEnd"/>
        <w:r w:rsidRPr="00A440AB">
          <w:rPr>
            <w:rStyle w:val="Hperlink"/>
          </w:rPr>
          <w:t xml:space="preserve"> </w:t>
        </w:r>
        <w:proofErr w:type="spellStart"/>
        <w:r w:rsidRPr="00A440AB">
          <w:rPr>
            <w:rStyle w:val="Hperlink"/>
          </w:rPr>
          <w:t>supply</w:t>
        </w:r>
        <w:proofErr w:type="spellEnd"/>
        <w:r w:rsidRPr="00A440AB">
          <w:rPr>
            <w:rStyle w:val="Hperlink"/>
          </w:rPr>
          <w:t xml:space="preserve"> of </w:t>
        </w:r>
        <w:proofErr w:type="spellStart"/>
        <w:r w:rsidRPr="00A440AB">
          <w:rPr>
            <w:rStyle w:val="Hperlink"/>
          </w:rPr>
          <w:t>older</w:t>
        </w:r>
        <w:proofErr w:type="spellEnd"/>
        <w:r w:rsidRPr="00A440AB">
          <w:rPr>
            <w:rStyle w:val="Hperlink"/>
          </w:rPr>
          <w:t xml:space="preserve"> </w:t>
        </w:r>
        <w:proofErr w:type="spellStart"/>
        <w:r w:rsidRPr="00A440AB">
          <w:rPr>
            <w:rStyle w:val="Hperlink"/>
          </w:rPr>
          <w:t>people</w:t>
        </w:r>
        <w:proofErr w:type="spellEnd"/>
        <w:r w:rsidRPr="00A440AB">
          <w:rPr>
            <w:rStyle w:val="Hperlink"/>
          </w:rPr>
          <w:t xml:space="preserve"> in </w:t>
        </w:r>
        <w:proofErr w:type="spellStart"/>
        <w:r w:rsidRPr="00A440AB">
          <w:rPr>
            <w:rStyle w:val="Hperlink"/>
          </w:rPr>
          <w:t>advanced</w:t>
        </w:r>
        <w:proofErr w:type="spellEnd"/>
        <w:r w:rsidRPr="00A440AB">
          <w:rPr>
            <w:rStyle w:val="Hperlink"/>
          </w:rPr>
          <w:t xml:space="preserve"> </w:t>
        </w:r>
        <w:proofErr w:type="spellStart"/>
        <w:r w:rsidRPr="00A440AB">
          <w:rPr>
            <w:rStyle w:val="Hperlink"/>
          </w:rPr>
          <w:t>economies</w:t>
        </w:r>
        <w:proofErr w:type="spellEnd"/>
        <w:r w:rsidRPr="00A440AB">
          <w:rPr>
            <w:rStyle w:val="Hperlink"/>
          </w:rPr>
          <w:t xml:space="preserve">: </w:t>
        </w:r>
        <w:proofErr w:type="spellStart"/>
        <w:r w:rsidRPr="00A440AB">
          <w:rPr>
            <w:rStyle w:val="Hperlink"/>
          </w:rPr>
          <w:t>the</w:t>
        </w:r>
        <w:proofErr w:type="spellEnd"/>
        <w:r w:rsidRPr="00A440AB">
          <w:rPr>
            <w:rStyle w:val="Hperlink"/>
          </w:rPr>
          <w:t xml:space="preserve"> </w:t>
        </w:r>
        <w:proofErr w:type="spellStart"/>
        <w:r w:rsidRPr="00A440AB">
          <w:rPr>
            <w:rStyle w:val="Hperlink"/>
          </w:rPr>
          <w:t>impact</w:t>
        </w:r>
        <w:proofErr w:type="spellEnd"/>
        <w:r w:rsidRPr="00A440AB">
          <w:rPr>
            <w:rStyle w:val="Hperlink"/>
          </w:rPr>
          <w:t xml:space="preserve"> of </w:t>
        </w:r>
        <w:proofErr w:type="spellStart"/>
        <w:r w:rsidRPr="00A440AB">
          <w:rPr>
            <w:rStyle w:val="Hperlink"/>
          </w:rPr>
          <w:t>changes</w:t>
        </w:r>
        <w:proofErr w:type="spellEnd"/>
        <w:r w:rsidRPr="00A440AB">
          <w:rPr>
            <w:rStyle w:val="Hperlink"/>
          </w:rPr>
          <w:t xml:space="preserve"> </w:t>
        </w:r>
        <w:proofErr w:type="spellStart"/>
        <w:r w:rsidRPr="00A440AB">
          <w:rPr>
            <w:rStyle w:val="Hperlink"/>
          </w:rPr>
          <w:t>to</w:t>
        </w:r>
        <w:proofErr w:type="spellEnd"/>
        <w:r w:rsidRPr="00A440AB">
          <w:rPr>
            <w:rStyle w:val="Hperlink"/>
          </w:rPr>
          <w:t xml:space="preserve"> </w:t>
        </w:r>
        <w:proofErr w:type="spellStart"/>
        <w:r w:rsidRPr="00A440AB">
          <w:rPr>
            <w:rStyle w:val="Hperlink"/>
          </w:rPr>
          <w:t>statutory</w:t>
        </w:r>
        <w:proofErr w:type="spellEnd"/>
        <w:r w:rsidRPr="00A440AB">
          <w:rPr>
            <w:rStyle w:val="Hperlink"/>
          </w:rPr>
          <w:t xml:space="preserve"> </w:t>
        </w:r>
        <w:proofErr w:type="spellStart"/>
        <w:r w:rsidRPr="00A440AB">
          <w:rPr>
            <w:rStyle w:val="Hperlink"/>
          </w:rPr>
          <w:t>retirement</w:t>
        </w:r>
        <w:proofErr w:type="spellEnd"/>
        <w:r w:rsidRPr="00A440AB">
          <w:rPr>
            <w:rStyle w:val="Hperlink"/>
          </w:rPr>
          <w:t xml:space="preserve"> </w:t>
        </w:r>
        <w:proofErr w:type="spellStart"/>
        <w:r w:rsidRPr="00A440AB">
          <w:rPr>
            <w:rStyle w:val="Hperlink"/>
          </w:rPr>
          <w:t>ages</w:t>
        </w:r>
        <w:proofErr w:type="spellEnd"/>
        <w:r w:rsidRPr="00A440AB">
          <w:rPr>
            <w:rStyle w:val="Hperlink"/>
          </w:rPr>
          <w:t xml:space="preserve"> | OECD</w:t>
        </w:r>
      </w:hyperlink>
    </w:p>
  </w:footnote>
  <w:footnote w:id="15">
    <w:p w14:paraId="7316DE37" w14:textId="77777777" w:rsidR="006774E3" w:rsidRDefault="006774E3" w:rsidP="006774E3">
      <w:pPr>
        <w:pStyle w:val="Allmrkusetekst"/>
      </w:pPr>
      <w:r>
        <w:rPr>
          <w:rStyle w:val="Allmrkuseviide"/>
        </w:rPr>
        <w:footnoteRef/>
      </w:r>
      <w:r>
        <w:t xml:space="preserve"> </w:t>
      </w:r>
      <w:proofErr w:type="spellStart"/>
      <w:r w:rsidRPr="004F3ADD">
        <w:t>Eurofound</w:t>
      </w:r>
      <w:proofErr w:type="spellEnd"/>
      <w:r w:rsidRPr="004F3ADD">
        <w:t xml:space="preserve"> (2025) </w:t>
      </w:r>
      <w:hyperlink r:id="rId12" w:history="1">
        <w:r w:rsidRPr="00A06BB4">
          <w:rPr>
            <w:rStyle w:val="Hperlink"/>
          </w:rPr>
          <w:t xml:space="preserve">Keeping </w:t>
        </w:r>
        <w:proofErr w:type="spellStart"/>
        <w:r w:rsidRPr="00A06BB4">
          <w:rPr>
            <w:rStyle w:val="Hperlink"/>
          </w:rPr>
          <w:t>older</w:t>
        </w:r>
        <w:proofErr w:type="spellEnd"/>
        <w:r w:rsidRPr="00A06BB4">
          <w:rPr>
            <w:rStyle w:val="Hperlink"/>
          </w:rPr>
          <w:t xml:space="preserve"> </w:t>
        </w:r>
        <w:proofErr w:type="spellStart"/>
        <w:r w:rsidRPr="00A06BB4">
          <w:rPr>
            <w:rStyle w:val="Hperlink"/>
          </w:rPr>
          <w:t>workers</w:t>
        </w:r>
        <w:proofErr w:type="spellEnd"/>
        <w:r w:rsidRPr="00A06BB4">
          <w:rPr>
            <w:rStyle w:val="Hperlink"/>
          </w:rPr>
          <w:t xml:space="preserve"> in </w:t>
        </w:r>
        <w:proofErr w:type="spellStart"/>
        <w:r w:rsidRPr="00A06BB4">
          <w:rPr>
            <w:rStyle w:val="Hperlink"/>
          </w:rPr>
          <w:t>the</w:t>
        </w:r>
        <w:proofErr w:type="spellEnd"/>
        <w:r w:rsidRPr="00A06BB4">
          <w:rPr>
            <w:rStyle w:val="Hperlink"/>
          </w:rPr>
          <w:t xml:space="preserve"> </w:t>
        </w:r>
        <w:proofErr w:type="spellStart"/>
        <w:r w:rsidRPr="00A06BB4">
          <w:rPr>
            <w:rStyle w:val="Hperlink"/>
          </w:rPr>
          <w:t>labour</w:t>
        </w:r>
        <w:proofErr w:type="spellEnd"/>
        <w:r w:rsidRPr="00A06BB4">
          <w:rPr>
            <w:rStyle w:val="Hperlink"/>
          </w:rPr>
          <w:t xml:space="preserve"> </w:t>
        </w:r>
        <w:proofErr w:type="spellStart"/>
        <w:r w:rsidRPr="00A06BB4">
          <w:rPr>
            <w:rStyle w:val="Hperlink"/>
          </w:rPr>
          <w:t>force</w:t>
        </w:r>
        <w:proofErr w:type="spellEnd"/>
      </w:hyperlink>
    </w:p>
  </w:footnote>
  <w:footnote w:id="16">
    <w:p w14:paraId="4F57D3EC" w14:textId="77777777" w:rsidR="006774E3" w:rsidRDefault="006774E3" w:rsidP="006774E3">
      <w:pPr>
        <w:pStyle w:val="Allmrkusetekst"/>
      </w:pPr>
      <w:r>
        <w:rPr>
          <w:rStyle w:val="Allmrkuseviide"/>
        </w:rPr>
        <w:footnoteRef/>
      </w:r>
      <w:r>
        <w:t xml:space="preserve"> </w:t>
      </w:r>
      <w:proofErr w:type="spellStart"/>
      <w:r w:rsidRPr="00934EFB">
        <w:t>Pilipiec</w:t>
      </w:r>
      <w:proofErr w:type="spellEnd"/>
      <w:r>
        <w:t>, P., Groot, W., Pavlova, M</w:t>
      </w:r>
      <w:r w:rsidRPr="00934EFB">
        <w:t xml:space="preserve">. (2020) </w:t>
      </w:r>
      <w:hyperlink r:id="rId13" w:history="1">
        <w:r w:rsidRPr="00523B9A">
          <w:rPr>
            <w:rStyle w:val="Hperlink"/>
          </w:rPr>
          <w:t xml:space="preserve">The </w:t>
        </w:r>
        <w:proofErr w:type="spellStart"/>
        <w:r w:rsidRPr="00523B9A">
          <w:rPr>
            <w:rStyle w:val="Hperlink"/>
          </w:rPr>
          <w:t>Effect</w:t>
        </w:r>
        <w:proofErr w:type="spellEnd"/>
        <w:r w:rsidRPr="00523B9A">
          <w:rPr>
            <w:rStyle w:val="Hperlink"/>
          </w:rPr>
          <w:t xml:space="preserve"> of </w:t>
        </w:r>
        <w:proofErr w:type="spellStart"/>
        <w:r w:rsidRPr="00523B9A">
          <w:rPr>
            <w:rStyle w:val="Hperlink"/>
          </w:rPr>
          <w:t>an</w:t>
        </w:r>
        <w:proofErr w:type="spellEnd"/>
        <w:r w:rsidRPr="00523B9A">
          <w:rPr>
            <w:rStyle w:val="Hperlink"/>
          </w:rPr>
          <w:t xml:space="preserve"> </w:t>
        </w:r>
        <w:proofErr w:type="spellStart"/>
        <w:r w:rsidRPr="00523B9A">
          <w:rPr>
            <w:rStyle w:val="Hperlink"/>
          </w:rPr>
          <w:t>Increase</w:t>
        </w:r>
        <w:proofErr w:type="spellEnd"/>
        <w:r w:rsidRPr="00523B9A">
          <w:rPr>
            <w:rStyle w:val="Hperlink"/>
          </w:rPr>
          <w:t xml:space="preserve"> of </w:t>
        </w:r>
        <w:proofErr w:type="spellStart"/>
        <w:r w:rsidRPr="00523B9A">
          <w:rPr>
            <w:rStyle w:val="Hperlink"/>
          </w:rPr>
          <w:t>the</w:t>
        </w:r>
        <w:proofErr w:type="spellEnd"/>
        <w:r w:rsidRPr="00523B9A">
          <w:rPr>
            <w:rStyle w:val="Hperlink"/>
          </w:rPr>
          <w:t xml:space="preserve"> </w:t>
        </w:r>
        <w:proofErr w:type="spellStart"/>
        <w:r w:rsidRPr="00523B9A">
          <w:rPr>
            <w:rStyle w:val="Hperlink"/>
          </w:rPr>
          <w:t>Retirement</w:t>
        </w:r>
        <w:proofErr w:type="spellEnd"/>
        <w:r w:rsidRPr="00523B9A">
          <w:rPr>
            <w:rStyle w:val="Hperlink"/>
          </w:rPr>
          <w:t xml:space="preserve"> Age on </w:t>
        </w:r>
        <w:proofErr w:type="spellStart"/>
        <w:r w:rsidRPr="00523B9A">
          <w:rPr>
            <w:rStyle w:val="Hperlink"/>
          </w:rPr>
          <w:t>the</w:t>
        </w:r>
        <w:proofErr w:type="spellEnd"/>
        <w:r w:rsidRPr="00523B9A">
          <w:rPr>
            <w:rStyle w:val="Hperlink"/>
          </w:rPr>
          <w:t xml:space="preserve"> Health, </w:t>
        </w:r>
        <w:proofErr w:type="spellStart"/>
        <w:r w:rsidRPr="00523B9A">
          <w:rPr>
            <w:rStyle w:val="Hperlink"/>
          </w:rPr>
          <w:t>Well-Being</w:t>
        </w:r>
        <w:proofErr w:type="spellEnd"/>
        <w:r w:rsidRPr="00523B9A">
          <w:rPr>
            <w:rStyle w:val="Hperlink"/>
          </w:rPr>
          <w:t xml:space="preserve">, and Labor </w:t>
        </w:r>
        <w:proofErr w:type="spellStart"/>
        <w:r w:rsidRPr="00523B9A">
          <w:rPr>
            <w:rStyle w:val="Hperlink"/>
          </w:rPr>
          <w:t>Force</w:t>
        </w:r>
        <w:proofErr w:type="spellEnd"/>
        <w:r w:rsidRPr="00523B9A">
          <w:rPr>
            <w:rStyle w:val="Hperlink"/>
          </w:rPr>
          <w:t xml:space="preserve"> </w:t>
        </w:r>
        <w:proofErr w:type="spellStart"/>
        <w:r w:rsidRPr="00523B9A">
          <w:rPr>
            <w:rStyle w:val="Hperlink"/>
          </w:rPr>
          <w:t>Participation</w:t>
        </w:r>
        <w:proofErr w:type="spellEnd"/>
        <w:r w:rsidRPr="00523B9A">
          <w:rPr>
            <w:rStyle w:val="Hperlink"/>
          </w:rPr>
          <w:t xml:space="preserve"> of </w:t>
        </w:r>
        <w:proofErr w:type="spellStart"/>
        <w:r w:rsidRPr="00523B9A">
          <w:rPr>
            <w:rStyle w:val="Hperlink"/>
          </w:rPr>
          <w:t>Older</w:t>
        </w:r>
        <w:proofErr w:type="spellEnd"/>
        <w:r w:rsidRPr="00523B9A">
          <w:rPr>
            <w:rStyle w:val="Hperlink"/>
          </w:rPr>
          <w:t xml:space="preserve"> </w:t>
        </w:r>
        <w:proofErr w:type="spellStart"/>
        <w:r w:rsidRPr="00523B9A">
          <w:rPr>
            <w:rStyle w:val="Hperlink"/>
          </w:rPr>
          <w:t>Workers</w:t>
        </w:r>
        <w:proofErr w:type="spellEnd"/>
        <w:r w:rsidRPr="00523B9A">
          <w:rPr>
            <w:rStyle w:val="Hperlink"/>
          </w:rPr>
          <w:t xml:space="preserve">: a </w:t>
        </w:r>
        <w:proofErr w:type="spellStart"/>
        <w:r w:rsidRPr="00523B9A">
          <w:rPr>
            <w:rStyle w:val="Hperlink"/>
          </w:rPr>
          <w:t>Systematic</w:t>
        </w:r>
        <w:proofErr w:type="spellEnd"/>
        <w:r w:rsidRPr="00523B9A">
          <w:rPr>
            <w:rStyle w:val="Hperlink"/>
          </w:rPr>
          <w:t xml:space="preserve"> </w:t>
        </w:r>
        <w:proofErr w:type="spellStart"/>
        <w:r w:rsidRPr="00523B9A">
          <w:rPr>
            <w:rStyle w:val="Hperlink"/>
          </w:rPr>
          <w:t>Literature</w:t>
        </w:r>
        <w:proofErr w:type="spellEnd"/>
        <w:r w:rsidRPr="00523B9A">
          <w:rPr>
            <w:rStyle w:val="Hperlink"/>
          </w:rPr>
          <w:t xml:space="preserve"> </w:t>
        </w:r>
        <w:proofErr w:type="spellStart"/>
        <w:r w:rsidRPr="00523B9A">
          <w:rPr>
            <w:rStyle w:val="Hperlink"/>
          </w:rPr>
          <w:t>Review</w:t>
        </w:r>
        <w:proofErr w:type="spellEnd"/>
        <w:r w:rsidRPr="00523B9A">
          <w:rPr>
            <w:rStyle w:val="Hperlink"/>
          </w:rPr>
          <w:t xml:space="preserve"> | </w:t>
        </w:r>
        <w:proofErr w:type="spellStart"/>
        <w:r w:rsidRPr="00523B9A">
          <w:rPr>
            <w:rStyle w:val="Hperlink"/>
          </w:rPr>
          <w:t>Journal</w:t>
        </w:r>
        <w:proofErr w:type="spellEnd"/>
        <w:r w:rsidRPr="00523B9A">
          <w:rPr>
            <w:rStyle w:val="Hperlink"/>
          </w:rPr>
          <w:t xml:space="preserve"> of </w:t>
        </w:r>
        <w:proofErr w:type="spellStart"/>
        <w:r w:rsidRPr="00523B9A">
          <w:rPr>
            <w:rStyle w:val="Hperlink"/>
          </w:rPr>
          <w:t>Population</w:t>
        </w:r>
        <w:proofErr w:type="spellEnd"/>
        <w:r w:rsidRPr="00523B9A">
          <w:rPr>
            <w:rStyle w:val="Hperlink"/>
          </w:rPr>
          <w:t xml:space="preserve"> </w:t>
        </w:r>
        <w:proofErr w:type="spellStart"/>
        <w:r w:rsidRPr="00523B9A">
          <w:rPr>
            <w:rStyle w:val="Hperlink"/>
          </w:rPr>
          <w:t>Ageing</w:t>
        </w:r>
        <w:proofErr w:type="spellEnd"/>
        <w:r w:rsidRPr="00523B9A">
          <w:rPr>
            <w:rStyle w:val="Hperlink"/>
          </w:rPr>
          <w:t xml:space="preserve"> | Springer </w:t>
        </w:r>
        <w:proofErr w:type="spellStart"/>
        <w:r w:rsidRPr="00523B9A">
          <w:rPr>
            <w:rStyle w:val="Hperlink"/>
          </w:rPr>
          <w:t>Nature</w:t>
        </w:r>
        <w:proofErr w:type="spellEnd"/>
        <w:r w:rsidRPr="00523B9A">
          <w:rPr>
            <w:rStyle w:val="Hperlink"/>
          </w:rPr>
          <w:t xml:space="preserve"> Link</w:t>
        </w:r>
      </w:hyperlink>
    </w:p>
  </w:footnote>
  <w:footnote w:id="17">
    <w:p w14:paraId="7769ECF5" w14:textId="77777777" w:rsidR="006774E3" w:rsidRDefault="006774E3" w:rsidP="006774E3">
      <w:pPr>
        <w:pStyle w:val="Allmrkusetekst"/>
      </w:pPr>
      <w:r>
        <w:rPr>
          <w:rStyle w:val="Allmrkuseviide"/>
        </w:rPr>
        <w:footnoteRef/>
      </w:r>
      <w:r>
        <w:t xml:space="preserve"> </w:t>
      </w:r>
      <w:r w:rsidRPr="00184768">
        <w:rPr>
          <w:lang w:val="en-US"/>
        </w:rPr>
        <w:t>Baumann</w:t>
      </w:r>
      <w:r>
        <w:rPr>
          <w:lang w:val="en-US"/>
        </w:rPr>
        <w:t xml:space="preserve">, I., </w:t>
      </w:r>
      <w:proofErr w:type="gramStart"/>
      <w:r>
        <w:rPr>
          <w:lang w:val="en-US"/>
        </w:rPr>
        <w:t>Froidevaux,A.</w:t>
      </w:r>
      <w:proofErr w:type="gramEnd"/>
      <w:r>
        <w:rPr>
          <w:lang w:val="en-US"/>
        </w:rPr>
        <w:t>,</w:t>
      </w:r>
      <w:proofErr w:type="spellStart"/>
      <w:proofErr w:type="gramStart"/>
      <w:r>
        <w:rPr>
          <w:lang w:val="en-US"/>
        </w:rPr>
        <w:t>Cabib,I</w:t>
      </w:r>
      <w:proofErr w:type="spellEnd"/>
      <w:r>
        <w:rPr>
          <w:lang w:val="en-US"/>
        </w:rPr>
        <w:t>.</w:t>
      </w:r>
      <w:proofErr w:type="gramEnd"/>
      <w:r w:rsidRPr="00184768">
        <w:rPr>
          <w:lang w:val="en-US"/>
        </w:rPr>
        <w:t xml:space="preserve"> (2022) </w:t>
      </w:r>
      <w:hyperlink r:id="rId14" w:history="1">
        <w:r w:rsidRPr="00442309">
          <w:rPr>
            <w:rStyle w:val="Hperlink"/>
          </w:rPr>
          <w:t xml:space="preserve">Health </w:t>
        </w:r>
        <w:proofErr w:type="spellStart"/>
        <w:r w:rsidRPr="00442309">
          <w:rPr>
            <w:rStyle w:val="Hperlink"/>
          </w:rPr>
          <w:t>among</w:t>
        </w:r>
        <w:proofErr w:type="spellEnd"/>
        <w:r w:rsidRPr="00442309">
          <w:rPr>
            <w:rStyle w:val="Hperlink"/>
          </w:rPr>
          <w:t xml:space="preserve"> </w:t>
        </w:r>
        <w:proofErr w:type="spellStart"/>
        <w:r w:rsidRPr="00442309">
          <w:rPr>
            <w:rStyle w:val="Hperlink"/>
          </w:rPr>
          <w:t>workers</w:t>
        </w:r>
        <w:proofErr w:type="spellEnd"/>
        <w:r w:rsidRPr="00442309">
          <w:rPr>
            <w:rStyle w:val="Hperlink"/>
          </w:rPr>
          <w:t xml:space="preserve"> </w:t>
        </w:r>
        <w:proofErr w:type="spellStart"/>
        <w:r w:rsidRPr="00442309">
          <w:rPr>
            <w:rStyle w:val="Hperlink"/>
          </w:rPr>
          <w:t>retiring</w:t>
        </w:r>
        <w:proofErr w:type="spellEnd"/>
        <w:r w:rsidRPr="00442309">
          <w:rPr>
            <w:rStyle w:val="Hperlink"/>
          </w:rPr>
          <w:t xml:space="preserve"> </w:t>
        </w:r>
        <w:proofErr w:type="spellStart"/>
        <w:r w:rsidRPr="00442309">
          <w:rPr>
            <w:rStyle w:val="Hperlink"/>
          </w:rPr>
          <w:t>after</w:t>
        </w:r>
        <w:proofErr w:type="spellEnd"/>
        <w:r w:rsidRPr="00442309">
          <w:rPr>
            <w:rStyle w:val="Hperlink"/>
          </w:rPr>
          <w:t xml:space="preserve"> </w:t>
        </w:r>
        <w:proofErr w:type="spellStart"/>
        <w:r w:rsidRPr="00442309">
          <w:rPr>
            <w:rStyle w:val="Hperlink"/>
          </w:rPr>
          <w:t>the</w:t>
        </w:r>
        <w:proofErr w:type="spellEnd"/>
        <w:r w:rsidRPr="00442309">
          <w:rPr>
            <w:rStyle w:val="Hperlink"/>
          </w:rPr>
          <w:t xml:space="preserve"> </w:t>
        </w:r>
        <w:proofErr w:type="spellStart"/>
        <w:r w:rsidRPr="00442309">
          <w:rPr>
            <w:rStyle w:val="Hperlink"/>
          </w:rPr>
          <w:t>state</w:t>
        </w:r>
        <w:proofErr w:type="spellEnd"/>
        <w:r w:rsidRPr="00442309">
          <w:rPr>
            <w:rStyle w:val="Hperlink"/>
          </w:rPr>
          <w:t xml:space="preserve"> pension </w:t>
        </w:r>
        <w:proofErr w:type="spellStart"/>
        <w:r w:rsidRPr="00442309">
          <w:rPr>
            <w:rStyle w:val="Hperlink"/>
          </w:rPr>
          <w:t>age</w:t>
        </w:r>
        <w:proofErr w:type="spellEnd"/>
        <w:r w:rsidRPr="00442309">
          <w:rPr>
            <w:rStyle w:val="Hperlink"/>
          </w:rPr>
          <w:t xml:space="preserve">: a </w:t>
        </w:r>
        <w:proofErr w:type="spellStart"/>
        <w:r w:rsidRPr="00442309">
          <w:rPr>
            <w:rStyle w:val="Hperlink"/>
          </w:rPr>
          <w:t>longitudinal</w:t>
        </w:r>
        <w:proofErr w:type="spellEnd"/>
        <w:r w:rsidRPr="00442309">
          <w:rPr>
            <w:rStyle w:val="Hperlink"/>
          </w:rPr>
          <w:t xml:space="preserve"> and </w:t>
        </w:r>
        <w:proofErr w:type="spellStart"/>
        <w:r w:rsidRPr="00442309">
          <w:rPr>
            <w:rStyle w:val="Hperlink"/>
          </w:rPr>
          <w:t>comparative</w:t>
        </w:r>
        <w:proofErr w:type="spellEnd"/>
        <w:r w:rsidRPr="00442309">
          <w:rPr>
            <w:rStyle w:val="Hperlink"/>
          </w:rPr>
          <w:t xml:space="preserve"> </w:t>
        </w:r>
        <w:proofErr w:type="spellStart"/>
        <w:r w:rsidRPr="00442309">
          <w:rPr>
            <w:rStyle w:val="Hperlink"/>
          </w:rPr>
          <w:t>study</w:t>
        </w:r>
        <w:proofErr w:type="spellEnd"/>
        <w:r w:rsidRPr="00442309">
          <w:rPr>
            <w:rStyle w:val="Hperlink"/>
          </w:rPr>
          <w:t xml:space="preserve"> | BMC </w:t>
        </w:r>
        <w:proofErr w:type="spellStart"/>
        <w:r w:rsidRPr="00442309">
          <w:rPr>
            <w:rStyle w:val="Hperlink"/>
          </w:rPr>
          <w:t>Geriatrics</w:t>
        </w:r>
        <w:proofErr w:type="spellEnd"/>
        <w:r w:rsidRPr="00442309">
          <w:rPr>
            <w:rStyle w:val="Hperlink"/>
          </w:rPr>
          <w:t xml:space="preserve"> | Springer </w:t>
        </w:r>
        <w:proofErr w:type="spellStart"/>
        <w:r w:rsidRPr="00442309">
          <w:rPr>
            <w:rStyle w:val="Hperlink"/>
          </w:rPr>
          <w:t>Nature</w:t>
        </w:r>
        <w:proofErr w:type="spellEnd"/>
        <w:r w:rsidRPr="00442309">
          <w:rPr>
            <w:rStyle w:val="Hperlink"/>
          </w:rPr>
          <w:t xml:space="preserve"> Link</w:t>
        </w:r>
      </w:hyperlink>
    </w:p>
  </w:footnote>
  <w:footnote w:id="18">
    <w:p w14:paraId="35B4663F" w14:textId="77777777" w:rsidR="006774E3" w:rsidRPr="00EB49A3" w:rsidRDefault="006774E3" w:rsidP="006774E3">
      <w:pPr>
        <w:rPr>
          <w:rFonts w:eastAsia="Aptos"/>
          <w:sz w:val="20"/>
          <w:szCs w:val="20"/>
          <w:lang w:val="en-US"/>
        </w:rPr>
      </w:pPr>
      <w:r w:rsidRPr="08CEA1C6">
        <w:rPr>
          <w:rStyle w:val="Allmrkuseviide"/>
          <w:lang w:val="en-US"/>
        </w:rPr>
        <w:footnoteRef/>
      </w:r>
      <w:r w:rsidRPr="08CEA1C6">
        <w:rPr>
          <w:lang w:val="en-US"/>
        </w:rPr>
        <w:t xml:space="preserve"> </w:t>
      </w:r>
      <w:r w:rsidRPr="08CEA1C6">
        <w:rPr>
          <w:sz w:val="20"/>
          <w:szCs w:val="20"/>
          <w:lang w:val="en-US"/>
        </w:rPr>
        <w:t>Duggan,</w:t>
      </w:r>
      <w:r>
        <w:rPr>
          <w:sz w:val="20"/>
          <w:szCs w:val="20"/>
          <w:lang w:val="en-US"/>
        </w:rPr>
        <w:t xml:space="preserve"> </w:t>
      </w:r>
      <w:r w:rsidRPr="08CEA1C6">
        <w:rPr>
          <w:sz w:val="20"/>
          <w:szCs w:val="20"/>
          <w:lang w:val="en-US"/>
        </w:rPr>
        <w:t>M.,</w:t>
      </w:r>
      <w:r>
        <w:rPr>
          <w:sz w:val="20"/>
          <w:szCs w:val="20"/>
          <w:lang w:val="en-US"/>
        </w:rPr>
        <w:t xml:space="preserve"> </w:t>
      </w:r>
      <w:r w:rsidRPr="08CEA1C6">
        <w:rPr>
          <w:sz w:val="20"/>
          <w:szCs w:val="20"/>
          <w:lang w:val="en-US"/>
        </w:rPr>
        <w:t>Singleton,</w:t>
      </w:r>
      <w:r>
        <w:rPr>
          <w:sz w:val="20"/>
          <w:szCs w:val="20"/>
          <w:lang w:val="en-US"/>
        </w:rPr>
        <w:t xml:space="preserve"> </w:t>
      </w:r>
      <w:r w:rsidRPr="08CEA1C6">
        <w:rPr>
          <w:sz w:val="20"/>
          <w:szCs w:val="20"/>
          <w:lang w:val="en-US"/>
        </w:rPr>
        <w:t>P.,</w:t>
      </w:r>
      <w:r>
        <w:rPr>
          <w:sz w:val="20"/>
          <w:szCs w:val="20"/>
          <w:lang w:val="en-US"/>
        </w:rPr>
        <w:t xml:space="preserve"> </w:t>
      </w:r>
      <w:r w:rsidRPr="08CEA1C6">
        <w:rPr>
          <w:sz w:val="20"/>
          <w:szCs w:val="20"/>
          <w:lang w:val="en-US"/>
        </w:rPr>
        <w:t>Song,</w:t>
      </w:r>
      <w:r>
        <w:rPr>
          <w:sz w:val="20"/>
          <w:szCs w:val="20"/>
          <w:lang w:val="en-US"/>
        </w:rPr>
        <w:t xml:space="preserve"> </w:t>
      </w:r>
      <w:r w:rsidRPr="08CEA1C6">
        <w:rPr>
          <w:sz w:val="20"/>
          <w:szCs w:val="20"/>
          <w:lang w:val="en-US"/>
        </w:rPr>
        <w:t>J.</w:t>
      </w:r>
      <w:r>
        <w:rPr>
          <w:sz w:val="20"/>
          <w:szCs w:val="20"/>
          <w:lang w:val="en-US"/>
        </w:rPr>
        <w:t xml:space="preserve"> </w:t>
      </w:r>
      <w:r w:rsidRPr="08CEA1C6">
        <w:rPr>
          <w:sz w:val="20"/>
          <w:szCs w:val="20"/>
          <w:lang w:val="en-US"/>
        </w:rPr>
        <w:t xml:space="preserve">(2005) </w:t>
      </w:r>
      <w:hyperlink r:id="rId15">
        <w:r w:rsidRPr="08CEA1C6">
          <w:rPr>
            <w:rStyle w:val="Hperlink"/>
            <w:sz w:val="20"/>
            <w:szCs w:val="20"/>
            <w:lang w:val="en-US"/>
          </w:rPr>
          <w:t>Aching to Retire? The Rise in the Full Retirement Age and its Impact on the Disability Rolls (nber.org)</w:t>
        </w:r>
      </w:hyperlink>
      <w:r w:rsidRPr="08CEA1C6">
        <w:rPr>
          <w:color w:val="003471"/>
          <w:sz w:val="20"/>
          <w:szCs w:val="20"/>
          <w:u w:val="single"/>
          <w:lang w:val="en-US"/>
        </w:rPr>
        <w:t xml:space="preserve">; </w:t>
      </w:r>
      <w:r w:rsidRPr="08CEA1C6">
        <w:rPr>
          <w:sz w:val="20"/>
          <w:szCs w:val="20"/>
          <w:lang w:val="en-US"/>
        </w:rPr>
        <w:t xml:space="preserve">Finnish Centre for Pensions (etk.fi; 15.06.2023) </w:t>
      </w:r>
      <w:hyperlink r:id="rId16">
        <w:r w:rsidRPr="08CEA1C6">
          <w:rPr>
            <w:rStyle w:val="Hperlink"/>
            <w:sz w:val="20"/>
            <w:szCs w:val="20"/>
            <w:lang w:val="en-US"/>
          </w:rPr>
          <w:t>„Rising retirement age reflected in rising employment rate – unemployment and disability have also increased“</w:t>
        </w:r>
      </w:hyperlink>
      <w:r w:rsidRPr="08CEA1C6">
        <w:rPr>
          <w:sz w:val="20"/>
          <w:szCs w:val="20"/>
          <w:lang w:val="en-US"/>
        </w:rPr>
        <w:t>; Soosaar,</w:t>
      </w:r>
      <w:r>
        <w:rPr>
          <w:sz w:val="20"/>
          <w:szCs w:val="20"/>
          <w:lang w:val="en-US"/>
        </w:rPr>
        <w:t xml:space="preserve"> </w:t>
      </w:r>
      <w:r w:rsidRPr="08CEA1C6">
        <w:rPr>
          <w:sz w:val="20"/>
          <w:szCs w:val="20"/>
          <w:lang w:val="en-US"/>
        </w:rPr>
        <w:t>O., Puur,</w:t>
      </w:r>
      <w:r>
        <w:rPr>
          <w:sz w:val="20"/>
          <w:szCs w:val="20"/>
          <w:lang w:val="en-US"/>
        </w:rPr>
        <w:t xml:space="preserve"> </w:t>
      </w:r>
      <w:r w:rsidRPr="08CEA1C6">
        <w:rPr>
          <w:sz w:val="20"/>
          <w:szCs w:val="20"/>
          <w:lang w:val="en-US"/>
        </w:rPr>
        <w:t>A., Leppik,</w:t>
      </w:r>
      <w:r>
        <w:rPr>
          <w:sz w:val="20"/>
          <w:szCs w:val="20"/>
          <w:lang w:val="en-US"/>
        </w:rPr>
        <w:t xml:space="preserve"> </w:t>
      </w:r>
      <w:r w:rsidRPr="08CEA1C6">
        <w:rPr>
          <w:sz w:val="20"/>
          <w:szCs w:val="20"/>
          <w:lang w:val="en-US"/>
        </w:rPr>
        <w:t xml:space="preserve">L. </w:t>
      </w:r>
      <w:hyperlink r:id="rId17">
        <w:r w:rsidRPr="08CEA1C6">
          <w:rPr>
            <w:rStyle w:val="Hperlink"/>
            <w:sz w:val="20"/>
            <w:szCs w:val="20"/>
            <w:lang w:val="en-US"/>
          </w:rPr>
          <w:t xml:space="preserve">Kas </w:t>
        </w:r>
        <w:proofErr w:type="spellStart"/>
        <w:r w:rsidRPr="08CEA1C6">
          <w:rPr>
            <w:rStyle w:val="Hperlink"/>
            <w:sz w:val="20"/>
            <w:szCs w:val="20"/>
            <w:lang w:val="en-US"/>
          </w:rPr>
          <w:t>pensioniea</w:t>
        </w:r>
        <w:proofErr w:type="spellEnd"/>
        <w:r w:rsidRPr="08CEA1C6">
          <w:rPr>
            <w:rStyle w:val="Hperlink"/>
            <w:sz w:val="20"/>
            <w:szCs w:val="20"/>
            <w:lang w:val="en-US"/>
          </w:rPr>
          <w:t xml:space="preserve"> </w:t>
        </w:r>
        <w:proofErr w:type="spellStart"/>
        <w:r w:rsidRPr="08CEA1C6">
          <w:rPr>
            <w:rStyle w:val="Hperlink"/>
            <w:sz w:val="20"/>
            <w:szCs w:val="20"/>
            <w:lang w:val="en-US"/>
          </w:rPr>
          <w:t>kergitamine</w:t>
        </w:r>
        <w:proofErr w:type="spellEnd"/>
        <w:r w:rsidRPr="08CEA1C6">
          <w:rPr>
            <w:rStyle w:val="Hperlink"/>
            <w:sz w:val="20"/>
            <w:szCs w:val="20"/>
            <w:lang w:val="en-US"/>
          </w:rPr>
          <w:t xml:space="preserve"> </w:t>
        </w:r>
        <w:proofErr w:type="spellStart"/>
        <w:r w:rsidRPr="08CEA1C6">
          <w:rPr>
            <w:rStyle w:val="Hperlink"/>
            <w:sz w:val="20"/>
            <w:szCs w:val="20"/>
            <w:lang w:val="en-US"/>
          </w:rPr>
          <w:t>pikendab</w:t>
        </w:r>
        <w:proofErr w:type="spellEnd"/>
        <w:r w:rsidRPr="08CEA1C6">
          <w:rPr>
            <w:rStyle w:val="Hperlink"/>
            <w:sz w:val="20"/>
            <w:szCs w:val="20"/>
            <w:lang w:val="en-US"/>
          </w:rPr>
          <w:t xml:space="preserve"> </w:t>
        </w:r>
        <w:proofErr w:type="spellStart"/>
        <w:r w:rsidRPr="08CEA1C6">
          <w:rPr>
            <w:rStyle w:val="Hperlink"/>
            <w:sz w:val="20"/>
            <w:szCs w:val="20"/>
            <w:lang w:val="en-US"/>
          </w:rPr>
          <w:t>tööelu</w:t>
        </w:r>
        <w:proofErr w:type="spellEnd"/>
        <w:r w:rsidRPr="08CEA1C6">
          <w:rPr>
            <w:rStyle w:val="Hperlink"/>
            <w:sz w:val="20"/>
            <w:szCs w:val="20"/>
            <w:lang w:val="en-US"/>
          </w:rPr>
          <w:t xml:space="preserve">? Eesti </w:t>
        </w:r>
        <w:proofErr w:type="spellStart"/>
        <w:r w:rsidRPr="08CEA1C6">
          <w:rPr>
            <w:rStyle w:val="Hperlink"/>
            <w:sz w:val="20"/>
            <w:szCs w:val="20"/>
            <w:lang w:val="en-US"/>
          </w:rPr>
          <w:t>pensionireformi</w:t>
        </w:r>
        <w:proofErr w:type="spellEnd"/>
        <w:r w:rsidRPr="08CEA1C6">
          <w:rPr>
            <w:rStyle w:val="Hperlink"/>
            <w:sz w:val="20"/>
            <w:szCs w:val="20"/>
            <w:lang w:val="en-US"/>
          </w:rPr>
          <w:t xml:space="preserve"> </w:t>
        </w:r>
        <w:proofErr w:type="spellStart"/>
        <w:r w:rsidRPr="08CEA1C6">
          <w:rPr>
            <w:rStyle w:val="Hperlink"/>
            <w:sz w:val="20"/>
            <w:szCs w:val="20"/>
            <w:lang w:val="en-US"/>
          </w:rPr>
          <w:t>näitel</w:t>
        </w:r>
        <w:proofErr w:type="spellEnd"/>
        <w:r w:rsidRPr="08CEA1C6">
          <w:rPr>
            <w:rStyle w:val="Hperlink"/>
            <w:sz w:val="20"/>
            <w:szCs w:val="20"/>
            <w:lang w:val="en-US"/>
          </w:rPr>
          <w:t>,</w:t>
        </w:r>
      </w:hyperlink>
      <w:r w:rsidRPr="08CEA1C6">
        <w:rPr>
          <w:rFonts w:ascii="Aptos" w:eastAsia="Aptos" w:hAnsi="Aptos" w:cs="Aptos"/>
          <w:sz w:val="18"/>
          <w:szCs w:val="18"/>
          <w:lang w:val="en-US"/>
        </w:rPr>
        <w:t xml:space="preserve"> </w:t>
      </w:r>
      <w:r w:rsidRPr="00EB49A3">
        <w:rPr>
          <w:rFonts w:eastAsia="Aptos"/>
          <w:sz w:val="20"/>
          <w:szCs w:val="20"/>
          <w:lang w:val="en-US"/>
        </w:rPr>
        <w:t xml:space="preserve">Eesti Pank, </w:t>
      </w:r>
      <w:proofErr w:type="spellStart"/>
      <w:r w:rsidRPr="00EB49A3">
        <w:rPr>
          <w:rFonts w:eastAsia="Aptos"/>
          <w:sz w:val="20"/>
          <w:szCs w:val="20"/>
          <w:lang w:val="en-US"/>
        </w:rPr>
        <w:t>Publikatsioonid</w:t>
      </w:r>
      <w:proofErr w:type="spellEnd"/>
      <w:r w:rsidRPr="00EB49A3">
        <w:rPr>
          <w:rFonts w:eastAsia="Aptos"/>
          <w:sz w:val="20"/>
          <w:szCs w:val="20"/>
          <w:lang w:val="en-US"/>
        </w:rPr>
        <w:t xml:space="preserve"> 3/2020</w:t>
      </w:r>
      <w:r>
        <w:rPr>
          <w:rFonts w:eastAsia="Aptos"/>
          <w:sz w:val="20"/>
          <w:szCs w:val="20"/>
          <w:lang w:val="en-US"/>
        </w:rPr>
        <w:t>.</w:t>
      </w:r>
    </w:p>
  </w:footnote>
  <w:footnote w:id="19">
    <w:p w14:paraId="64C34072" w14:textId="77777777" w:rsidR="006774E3" w:rsidRPr="00EB49A3" w:rsidRDefault="006774E3" w:rsidP="006774E3">
      <w:pPr>
        <w:rPr>
          <w:sz w:val="20"/>
          <w:szCs w:val="20"/>
        </w:rPr>
      </w:pPr>
      <w:r w:rsidRPr="00EB49A3">
        <w:rPr>
          <w:rStyle w:val="Allmrkuseviide"/>
          <w:sz w:val="20"/>
          <w:szCs w:val="20"/>
        </w:rPr>
        <w:footnoteRef/>
      </w:r>
      <w:r w:rsidRPr="00EB49A3">
        <w:rPr>
          <w:sz w:val="20"/>
          <w:szCs w:val="20"/>
        </w:rPr>
        <w:t xml:space="preserve"> </w:t>
      </w:r>
      <w:hyperlink r:id="rId18" w:anchor="koond">
        <w:r w:rsidRPr="00FB13AF">
          <w:rPr>
            <w:rStyle w:val="Hperlink"/>
            <w:sz w:val="20"/>
            <w:szCs w:val="20"/>
          </w:rPr>
          <w:t>Statistika | Sotsiaalkindlustusamet</w:t>
        </w:r>
      </w:hyperlink>
    </w:p>
  </w:footnote>
  <w:footnote w:id="20">
    <w:p w14:paraId="318C5325" w14:textId="77777777" w:rsidR="006774E3" w:rsidRPr="00FA13BE" w:rsidRDefault="006774E3" w:rsidP="006774E3">
      <w:pPr>
        <w:rPr>
          <w:rStyle w:val="Hperlink"/>
        </w:rPr>
      </w:pPr>
      <w:r w:rsidRPr="00EB49A3">
        <w:rPr>
          <w:rStyle w:val="Allmrkuseviide"/>
          <w:sz w:val="20"/>
          <w:szCs w:val="20"/>
        </w:rPr>
        <w:footnoteRef/>
      </w:r>
      <w:r w:rsidRPr="00EB49A3">
        <w:rPr>
          <w:sz w:val="20"/>
          <w:szCs w:val="20"/>
        </w:rPr>
        <w:t xml:space="preserve"> </w:t>
      </w:r>
      <w:hyperlink r:id="rId19">
        <w:r w:rsidRPr="00FB13AF">
          <w:rPr>
            <w:rStyle w:val="Hperlink"/>
            <w:sz w:val="20"/>
            <w:szCs w:val="20"/>
          </w:rPr>
          <w:t>Eesti pensionisüsteemi jätkusuutlikkuse analüüs_sotsiaalministeerium.pdf</w:t>
        </w:r>
        <w:r>
          <w:rPr>
            <w:rStyle w:val="Hperlink"/>
            <w:sz w:val="20"/>
            <w:szCs w:val="20"/>
          </w:rPr>
          <w:t>_2022</w:t>
        </w:r>
        <w:r w:rsidRPr="00FB13AF">
          <w:rPr>
            <w:rStyle w:val="Hperlink"/>
            <w:sz w:val="20"/>
            <w:szCs w:val="20"/>
          </w:rPr>
          <w:t xml:space="preserve"> (sm.ee)</w:t>
        </w:r>
      </w:hyperlink>
    </w:p>
  </w:footnote>
  <w:footnote w:id="21">
    <w:p w14:paraId="6F5E8456" w14:textId="77777777" w:rsidR="006774E3" w:rsidRPr="00FB13AF" w:rsidRDefault="006774E3" w:rsidP="006774E3">
      <w:pPr>
        <w:pStyle w:val="Allmrkusetekst"/>
      </w:pPr>
      <w:r w:rsidRPr="00FB13AF">
        <w:rPr>
          <w:rStyle w:val="Allmrkuseviide"/>
        </w:rPr>
        <w:footnoteRef/>
      </w:r>
      <w:r w:rsidRPr="00FB13AF">
        <w:t xml:space="preserve"> </w:t>
      </w:r>
      <w:hyperlink r:id="rId20">
        <w:r w:rsidRPr="00FB13AF">
          <w:rPr>
            <w:rStyle w:val="Hperlink"/>
          </w:rPr>
          <w:t>Vanaduspensioni_jatkusuutlikkuse_analuus_2016.pdf (sm.ee)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F42D4"/>
    <w:multiLevelType w:val="hybridMultilevel"/>
    <w:tmpl w:val="201E693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7442684F"/>
    <w:multiLevelType w:val="hybridMultilevel"/>
    <w:tmpl w:val="46DE159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565487165">
    <w:abstractNumId w:val="1"/>
  </w:num>
  <w:num w:numId="2" w16cid:durableId="263340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68"/>
    <w:rsid w:val="0000560D"/>
    <w:rsid w:val="000106C9"/>
    <w:rsid w:val="00016341"/>
    <w:rsid w:val="00025592"/>
    <w:rsid w:val="000258A7"/>
    <w:rsid w:val="00032123"/>
    <w:rsid w:val="00033631"/>
    <w:rsid w:val="000406C0"/>
    <w:rsid w:val="00044F03"/>
    <w:rsid w:val="00051007"/>
    <w:rsid w:val="00052005"/>
    <w:rsid w:val="0005515A"/>
    <w:rsid w:val="0005646E"/>
    <w:rsid w:val="00062025"/>
    <w:rsid w:val="00063AF9"/>
    <w:rsid w:val="00063C0F"/>
    <w:rsid w:val="000715D0"/>
    <w:rsid w:val="00072F37"/>
    <w:rsid w:val="00074D5E"/>
    <w:rsid w:val="00075211"/>
    <w:rsid w:val="000766B9"/>
    <w:rsid w:val="0008051F"/>
    <w:rsid w:val="0008193C"/>
    <w:rsid w:val="00082EAC"/>
    <w:rsid w:val="0009007A"/>
    <w:rsid w:val="00096E0B"/>
    <w:rsid w:val="000A003F"/>
    <w:rsid w:val="000A220B"/>
    <w:rsid w:val="000A59D3"/>
    <w:rsid w:val="000A5C6F"/>
    <w:rsid w:val="000A6AC9"/>
    <w:rsid w:val="000C1129"/>
    <w:rsid w:val="000C5B84"/>
    <w:rsid w:val="000E17E8"/>
    <w:rsid w:val="000E3089"/>
    <w:rsid w:val="000E4AA8"/>
    <w:rsid w:val="000E4B3C"/>
    <w:rsid w:val="000E5D7F"/>
    <w:rsid w:val="000F1CFF"/>
    <w:rsid w:val="001028E3"/>
    <w:rsid w:val="001042F7"/>
    <w:rsid w:val="00104879"/>
    <w:rsid w:val="00107A3B"/>
    <w:rsid w:val="001108BF"/>
    <w:rsid w:val="00125A2B"/>
    <w:rsid w:val="00133FE9"/>
    <w:rsid w:val="00135296"/>
    <w:rsid w:val="00143329"/>
    <w:rsid w:val="00155C9E"/>
    <w:rsid w:val="001570DC"/>
    <w:rsid w:val="0016046D"/>
    <w:rsid w:val="001829D1"/>
    <w:rsid w:val="001966DA"/>
    <w:rsid w:val="001A2EC6"/>
    <w:rsid w:val="001A4EA6"/>
    <w:rsid w:val="001A602C"/>
    <w:rsid w:val="001A6AA2"/>
    <w:rsid w:val="001A6B62"/>
    <w:rsid w:val="001B7667"/>
    <w:rsid w:val="001C2907"/>
    <w:rsid w:val="001C74B9"/>
    <w:rsid w:val="001D0008"/>
    <w:rsid w:val="001D429A"/>
    <w:rsid w:val="001D5BFF"/>
    <w:rsid w:val="001E0A07"/>
    <w:rsid w:val="001E122A"/>
    <w:rsid w:val="001E596D"/>
    <w:rsid w:val="001F2C41"/>
    <w:rsid w:val="001F4BC3"/>
    <w:rsid w:val="00200CCC"/>
    <w:rsid w:val="00204693"/>
    <w:rsid w:val="00211244"/>
    <w:rsid w:val="00213060"/>
    <w:rsid w:val="002156E8"/>
    <w:rsid w:val="00227A96"/>
    <w:rsid w:val="002309B1"/>
    <w:rsid w:val="0023166D"/>
    <w:rsid w:val="002367F3"/>
    <w:rsid w:val="00236DA7"/>
    <w:rsid w:val="00246AB6"/>
    <w:rsid w:val="00264A4F"/>
    <w:rsid w:val="00267792"/>
    <w:rsid w:val="002707A4"/>
    <w:rsid w:val="00281104"/>
    <w:rsid w:val="00291226"/>
    <w:rsid w:val="002A2187"/>
    <w:rsid w:val="002A5624"/>
    <w:rsid w:val="002B1805"/>
    <w:rsid w:val="002D1EBB"/>
    <w:rsid w:val="002D3CBD"/>
    <w:rsid w:val="002D4FC6"/>
    <w:rsid w:val="002E61BF"/>
    <w:rsid w:val="002F4DB8"/>
    <w:rsid w:val="00305E11"/>
    <w:rsid w:val="00311878"/>
    <w:rsid w:val="003354E9"/>
    <w:rsid w:val="00355DFB"/>
    <w:rsid w:val="00360E2A"/>
    <w:rsid w:val="003652CE"/>
    <w:rsid w:val="003653D3"/>
    <w:rsid w:val="00371730"/>
    <w:rsid w:val="003801C8"/>
    <w:rsid w:val="00393D16"/>
    <w:rsid w:val="00394716"/>
    <w:rsid w:val="003B10C6"/>
    <w:rsid w:val="003B15D3"/>
    <w:rsid w:val="003B55D7"/>
    <w:rsid w:val="003D06EB"/>
    <w:rsid w:val="003E461D"/>
    <w:rsid w:val="003E4FD1"/>
    <w:rsid w:val="003F5F72"/>
    <w:rsid w:val="003F6072"/>
    <w:rsid w:val="00400725"/>
    <w:rsid w:val="0040140C"/>
    <w:rsid w:val="00411CDC"/>
    <w:rsid w:val="00412016"/>
    <w:rsid w:val="00421F1A"/>
    <w:rsid w:val="004257DB"/>
    <w:rsid w:val="0043365E"/>
    <w:rsid w:val="00433B55"/>
    <w:rsid w:val="004365C5"/>
    <w:rsid w:val="0044470D"/>
    <w:rsid w:val="0045283A"/>
    <w:rsid w:val="00460488"/>
    <w:rsid w:val="00465361"/>
    <w:rsid w:val="004730F2"/>
    <w:rsid w:val="00474729"/>
    <w:rsid w:val="00482ABB"/>
    <w:rsid w:val="00491375"/>
    <w:rsid w:val="004913F7"/>
    <w:rsid w:val="00497D06"/>
    <w:rsid w:val="004A02CF"/>
    <w:rsid w:val="004B07C8"/>
    <w:rsid w:val="004B458B"/>
    <w:rsid w:val="004C0138"/>
    <w:rsid w:val="004D0105"/>
    <w:rsid w:val="004E60DD"/>
    <w:rsid w:val="004F57FE"/>
    <w:rsid w:val="00500FAB"/>
    <w:rsid w:val="00506188"/>
    <w:rsid w:val="00507A56"/>
    <w:rsid w:val="00513796"/>
    <w:rsid w:val="00516499"/>
    <w:rsid w:val="00516670"/>
    <w:rsid w:val="00521B89"/>
    <w:rsid w:val="005236E6"/>
    <w:rsid w:val="005277B3"/>
    <w:rsid w:val="0053304C"/>
    <w:rsid w:val="00537EBA"/>
    <w:rsid w:val="00540039"/>
    <w:rsid w:val="00543B59"/>
    <w:rsid w:val="00547EA9"/>
    <w:rsid w:val="0055126F"/>
    <w:rsid w:val="00570391"/>
    <w:rsid w:val="0057121C"/>
    <w:rsid w:val="00575961"/>
    <w:rsid w:val="005810D5"/>
    <w:rsid w:val="00594357"/>
    <w:rsid w:val="00595E8D"/>
    <w:rsid w:val="0059664D"/>
    <w:rsid w:val="00597F6E"/>
    <w:rsid w:val="005B4B1A"/>
    <w:rsid w:val="005B4BF6"/>
    <w:rsid w:val="005C1206"/>
    <w:rsid w:val="005C19BD"/>
    <w:rsid w:val="005C38A0"/>
    <w:rsid w:val="005D07A3"/>
    <w:rsid w:val="005D5F9D"/>
    <w:rsid w:val="005E136A"/>
    <w:rsid w:val="005E3403"/>
    <w:rsid w:val="005E36A9"/>
    <w:rsid w:val="005E419F"/>
    <w:rsid w:val="005F4356"/>
    <w:rsid w:val="005F6017"/>
    <w:rsid w:val="005F759C"/>
    <w:rsid w:val="00600768"/>
    <w:rsid w:val="0060340B"/>
    <w:rsid w:val="00607F8C"/>
    <w:rsid w:val="0061358E"/>
    <w:rsid w:val="006157BD"/>
    <w:rsid w:val="006169B0"/>
    <w:rsid w:val="00630697"/>
    <w:rsid w:val="00630699"/>
    <w:rsid w:val="00630A93"/>
    <w:rsid w:val="00633FA2"/>
    <w:rsid w:val="00644AE0"/>
    <w:rsid w:val="006562BE"/>
    <w:rsid w:val="00656481"/>
    <w:rsid w:val="00656DB7"/>
    <w:rsid w:val="00676FBF"/>
    <w:rsid w:val="006774E3"/>
    <w:rsid w:val="00683953"/>
    <w:rsid w:val="00691C8B"/>
    <w:rsid w:val="00691D6C"/>
    <w:rsid w:val="00696BDA"/>
    <w:rsid w:val="006B6A84"/>
    <w:rsid w:val="006B73F4"/>
    <w:rsid w:val="006C434B"/>
    <w:rsid w:val="006D2C06"/>
    <w:rsid w:val="006F61F4"/>
    <w:rsid w:val="007075B2"/>
    <w:rsid w:val="0072026F"/>
    <w:rsid w:val="00720DC6"/>
    <w:rsid w:val="0074008E"/>
    <w:rsid w:val="007408EF"/>
    <w:rsid w:val="00746B56"/>
    <w:rsid w:val="007540BD"/>
    <w:rsid w:val="007556A1"/>
    <w:rsid w:val="00760FD6"/>
    <w:rsid w:val="00762A39"/>
    <w:rsid w:val="0077485C"/>
    <w:rsid w:val="00780F10"/>
    <w:rsid w:val="00782F5C"/>
    <w:rsid w:val="007855F7"/>
    <w:rsid w:val="007949D5"/>
    <w:rsid w:val="007A0BB8"/>
    <w:rsid w:val="007B4002"/>
    <w:rsid w:val="007B5BD4"/>
    <w:rsid w:val="007C231D"/>
    <w:rsid w:val="007C6C64"/>
    <w:rsid w:val="007D09C9"/>
    <w:rsid w:val="007D1E59"/>
    <w:rsid w:val="007D4329"/>
    <w:rsid w:val="007E2B6F"/>
    <w:rsid w:val="007F1807"/>
    <w:rsid w:val="007F6243"/>
    <w:rsid w:val="00801685"/>
    <w:rsid w:val="00803BE7"/>
    <w:rsid w:val="00805C6C"/>
    <w:rsid w:val="00807BC3"/>
    <w:rsid w:val="00807F54"/>
    <w:rsid w:val="00810D16"/>
    <w:rsid w:val="00821F6E"/>
    <w:rsid w:val="008239A8"/>
    <w:rsid w:val="0082600D"/>
    <w:rsid w:val="00830D69"/>
    <w:rsid w:val="00831E9B"/>
    <w:rsid w:val="0083380A"/>
    <w:rsid w:val="00841498"/>
    <w:rsid w:val="008424D0"/>
    <w:rsid w:val="00842E5A"/>
    <w:rsid w:val="0086456C"/>
    <w:rsid w:val="00872640"/>
    <w:rsid w:val="008817E2"/>
    <w:rsid w:val="0088368C"/>
    <w:rsid w:val="008901E7"/>
    <w:rsid w:val="00892FA0"/>
    <w:rsid w:val="0089515B"/>
    <w:rsid w:val="00895184"/>
    <w:rsid w:val="008A178E"/>
    <w:rsid w:val="008A4450"/>
    <w:rsid w:val="008A5811"/>
    <w:rsid w:val="008B02C7"/>
    <w:rsid w:val="008B05A2"/>
    <w:rsid w:val="008B07EB"/>
    <w:rsid w:val="008B6DA2"/>
    <w:rsid w:val="008B756C"/>
    <w:rsid w:val="008C4580"/>
    <w:rsid w:val="008D2674"/>
    <w:rsid w:val="008D4CD0"/>
    <w:rsid w:val="008D580D"/>
    <w:rsid w:val="008E2B01"/>
    <w:rsid w:val="008E6F6E"/>
    <w:rsid w:val="008E7460"/>
    <w:rsid w:val="008F73F1"/>
    <w:rsid w:val="00904F1A"/>
    <w:rsid w:val="009137AA"/>
    <w:rsid w:val="00917E9B"/>
    <w:rsid w:val="009243D4"/>
    <w:rsid w:val="009259E6"/>
    <w:rsid w:val="00931D67"/>
    <w:rsid w:val="009331A2"/>
    <w:rsid w:val="00933DC0"/>
    <w:rsid w:val="009362B1"/>
    <w:rsid w:val="00940CDD"/>
    <w:rsid w:val="00940FF7"/>
    <w:rsid w:val="0094280C"/>
    <w:rsid w:val="009436E1"/>
    <w:rsid w:val="0095173A"/>
    <w:rsid w:val="00960E7F"/>
    <w:rsid w:val="00964946"/>
    <w:rsid w:val="0097149A"/>
    <w:rsid w:val="00990837"/>
    <w:rsid w:val="00993477"/>
    <w:rsid w:val="00995373"/>
    <w:rsid w:val="009A71AE"/>
    <w:rsid w:val="009B2692"/>
    <w:rsid w:val="009B48DD"/>
    <w:rsid w:val="009B6723"/>
    <w:rsid w:val="009B79B6"/>
    <w:rsid w:val="009C5220"/>
    <w:rsid w:val="009D6070"/>
    <w:rsid w:val="009D646C"/>
    <w:rsid w:val="009E27BB"/>
    <w:rsid w:val="009E7D04"/>
    <w:rsid w:val="00A0198A"/>
    <w:rsid w:val="00A06CF1"/>
    <w:rsid w:val="00A07A54"/>
    <w:rsid w:val="00A128C0"/>
    <w:rsid w:val="00A150EF"/>
    <w:rsid w:val="00A15AC1"/>
    <w:rsid w:val="00A30B2A"/>
    <w:rsid w:val="00A377AD"/>
    <w:rsid w:val="00A54315"/>
    <w:rsid w:val="00A56F06"/>
    <w:rsid w:val="00A57AAD"/>
    <w:rsid w:val="00A771D1"/>
    <w:rsid w:val="00A83B9A"/>
    <w:rsid w:val="00A8689A"/>
    <w:rsid w:val="00A87B51"/>
    <w:rsid w:val="00AA40A2"/>
    <w:rsid w:val="00AB4AB6"/>
    <w:rsid w:val="00AB5422"/>
    <w:rsid w:val="00AD6B57"/>
    <w:rsid w:val="00AE22A9"/>
    <w:rsid w:val="00AE6C35"/>
    <w:rsid w:val="00AF49D6"/>
    <w:rsid w:val="00AF4FFC"/>
    <w:rsid w:val="00AF5AC5"/>
    <w:rsid w:val="00AF5F5B"/>
    <w:rsid w:val="00B020C0"/>
    <w:rsid w:val="00B02ED2"/>
    <w:rsid w:val="00B073B9"/>
    <w:rsid w:val="00B07F10"/>
    <w:rsid w:val="00B10B6A"/>
    <w:rsid w:val="00B11D29"/>
    <w:rsid w:val="00B2309B"/>
    <w:rsid w:val="00B237D8"/>
    <w:rsid w:val="00B245CD"/>
    <w:rsid w:val="00B301D2"/>
    <w:rsid w:val="00B349F9"/>
    <w:rsid w:val="00B40C65"/>
    <w:rsid w:val="00B61BE3"/>
    <w:rsid w:val="00B74224"/>
    <w:rsid w:val="00B81808"/>
    <w:rsid w:val="00B84FE4"/>
    <w:rsid w:val="00B93A74"/>
    <w:rsid w:val="00B96695"/>
    <w:rsid w:val="00BC0713"/>
    <w:rsid w:val="00BC32D1"/>
    <w:rsid w:val="00BC3EF2"/>
    <w:rsid w:val="00BC631E"/>
    <w:rsid w:val="00BC6CC4"/>
    <w:rsid w:val="00BD23CD"/>
    <w:rsid w:val="00BD2BB3"/>
    <w:rsid w:val="00BD7D4B"/>
    <w:rsid w:val="00BD7EAA"/>
    <w:rsid w:val="00BE18C2"/>
    <w:rsid w:val="00BF03E2"/>
    <w:rsid w:val="00C0053D"/>
    <w:rsid w:val="00C0542A"/>
    <w:rsid w:val="00C164F8"/>
    <w:rsid w:val="00C20A55"/>
    <w:rsid w:val="00C213B1"/>
    <w:rsid w:val="00C2438A"/>
    <w:rsid w:val="00C30172"/>
    <w:rsid w:val="00C57AAE"/>
    <w:rsid w:val="00C71ED3"/>
    <w:rsid w:val="00C72F84"/>
    <w:rsid w:val="00C8235A"/>
    <w:rsid w:val="00C82B1B"/>
    <w:rsid w:val="00C9744B"/>
    <w:rsid w:val="00CA667D"/>
    <w:rsid w:val="00CA7940"/>
    <w:rsid w:val="00CA7FA8"/>
    <w:rsid w:val="00CC1168"/>
    <w:rsid w:val="00CC6AA0"/>
    <w:rsid w:val="00CC6AD0"/>
    <w:rsid w:val="00CD7802"/>
    <w:rsid w:val="00CE0C60"/>
    <w:rsid w:val="00CF2C4D"/>
    <w:rsid w:val="00D20C00"/>
    <w:rsid w:val="00D30D15"/>
    <w:rsid w:val="00D31B39"/>
    <w:rsid w:val="00D47F8D"/>
    <w:rsid w:val="00D513D0"/>
    <w:rsid w:val="00D5164A"/>
    <w:rsid w:val="00D52FF8"/>
    <w:rsid w:val="00D6024B"/>
    <w:rsid w:val="00D616B5"/>
    <w:rsid w:val="00D70CFF"/>
    <w:rsid w:val="00D724C1"/>
    <w:rsid w:val="00D806FE"/>
    <w:rsid w:val="00D808C6"/>
    <w:rsid w:val="00D847F6"/>
    <w:rsid w:val="00D86001"/>
    <w:rsid w:val="00D87F30"/>
    <w:rsid w:val="00D9383C"/>
    <w:rsid w:val="00DA0562"/>
    <w:rsid w:val="00DA2256"/>
    <w:rsid w:val="00DA6F51"/>
    <w:rsid w:val="00DB5384"/>
    <w:rsid w:val="00DC3242"/>
    <w:rsid w:val="00DC5335"/>
    <w:rsid w:val="00DC7D8B"/>
    <w:rsid w:val="00DD218F"/>
    <w:rsid w:val="00DE3FB3"/>
    <w:rsid w:val="00DF15DC"/>
    <w:rsid w:val="00DF3B7B"/>
    <w:rsid w:val="00E129CB"/>
    <w:rsid w:val="00E16377"/>
    <w:rsid w:val="00E178E3"/>
    <w:rsid w:val="00E22A45"/>
    <w:rsid w:val="00E31522"/>
    <w:rsid w:val="00E37110"/>
    <w:rsid w:val="00E40F12"/>
    <w:rsid w:val="00E466E6"/>
    <w:rsid w:val="00E551C7"/>
    <w:rsid w:val="00E572D9"/>
    <w:rsid w:val="00E65EF5"/>
    <w:rsid w:val="00E67A4A"/>
    <w:rsid w:val="00E7402B"/>
    <w:rsid w:val="00E751BD"/>
    <w:rsid w:val="00E77F40"/>
    <w:rsid w:val="00E81430"/>
    <w:rsid w:val="00E9483E"/>
    <w:rsid w:val="00E95E2F"/>
    <w:rsid w:val="00E97D0E"/>
    <w:rsid w:val="00EA0E8C"/>
    <w:rsid w:val="00EA32F2"/>
    <w:rsid w:val="00EB02C1"/>
    <w:rsid w:val="00EB453F"/>
    <w:rsid w:val="00EB49A3"/>
    <w:rsid w:val="00EC5E2B"/>
    <w:rsid w:val="00EC7AD5"/>
    <w:rsid w:val="00ED05AF"/>
    <w:rsid w:val="00ED087E"/>
    <w:rsid w:val="00ED1196"/>
    <w:rsid w:val="00ED7377"/>
    <w:rsid w:val="00EE082E"/>
    <w:rsid w:val="00EE3A00"/>
    <w:rsid w:val="00EF02AE"/>
    <w:rsid w:val="00EF3C6B"/>
    <w:rsid w:val="00F05096"/>
    <w:rsid w:val="00F057EF"/>
    <w:rsid w:val="00F11C0A"/>
    <w:rsid w:val="00F17DEB"/>
    <w:rsid w:val="00F21FDC"/>
    <w:rsid w:val="00F31B4A"/>
    <w:rsid w:val="00F34741"/>
    <w:rsid w:val="00F424C4"/>
    <w:rsid w:val="00F43618"/>
    <w:rsid w:val="00F5358F"/>
    <w:rsid w:val="00F60812"/>
    <w:rsid w:val="00F61CA1"/>
    <w:rsid w:val="00F62F1A"/>
    <w:rsid w:val="00F62FE6"/>
    <w:rsid w:val="00F66AC4"/>
    <w:rsid w:val="00F672C5"/>
    <w:rsid w:val="00F74260"/>
    <w:rsid w:val="00F756BD"/>
    <w:rsid w:val="00F80F90"/>
    <w:rsid w:val="00F8141C"/>
    <w:rsid w:val="00F8716A"/>
    <w:rsid w:val="00F87ADB"/>
    <w:rsid w:val="00F948C1"/>
    <w:rsid w:val="00F95005"/>
    <w:rsid w:val="00F95B84"/>
    <w:rsid w:val="00F971E6"/>
    <w:rsid w:val="00FA018C"/>
    <w:rsid w:val="00FA07DF"/>
    <w:rsid w:val="00FB13AF"/>
    <w:rsid w:val="00FB62EF"/>
    <w:rsid w:val="00FC23C5"/>
    <w:rsid w:val="00FC4AD4"/>
    <w:rsid w:val="00FC6BD7"/>
    <w:rsid w:val="00FD721C"/>
    <w:rsid w:val="00FE0216"/>
    <w:rsid w:val="00FE74C4"/>
    <w:rsid w:val="0193A4AE"/>
    <w:rsid w:val="01DB5230"/>
    <w:rsid w:val="021E4272"/>
    <w:rsid w:val="0243E82E"/>
    <w:rsid w:val="028FC055"/>
    <w:rsid w:val="02FC5970"/>
    <w:rsid w:val="037287B7"/>
    <w:rsid w:val="041942F3"/>
    <w:rsid w:val="043EDB8C"/>
    <w:rsid w:val="0451574D"/>
    <w:rsid w:val="04ADA6CA"/>
    <w:rsid w:val="05DD44E7"/>
    <w:rsid w:val="06107660"/>
    <w:rsid w:val="06E87D80"/>
    <w:rsid w:val="070C0311"/>
    <w:rsid w:val="073A2366"/>
    <w:rsid w:val="08CEA1C6"/>
    <w:rsid w:val="09CC0827"/>
    <w:rsid w:val="0CDD3948"/>
    <w:rsid w:val="0D6B6DA9"/>
    <w:rsid w:val="0DA95F92"/>
    <w:rsid w:val="0E16DF57"/>
    <w:rsid w:val="0E68C971"/>
    <w:rsid w:val="0EA8AF65"/>
    <w:rsid w:val="0F60CC88"/>
    <w:rsid w:val="1063EC04"/>
    <w:rsid w:val="106D389A"/>
    <w:rsid w:val="10F5836B"/>
    <w:rsid w:val="1216D190"/>
    <w:rsid w:val="1234B80F"/>
    <w:rsid w:val="1235BB84"/>
    <w:rsid w:val="1300DE56"/>
    <w:rsid w:val="132A7E64"/>
    <w:rsid w:val="1481832E"/>
    <w:rsid w:val="1575018C"/>
    <w:rsid w:val="158A5698"/>
    <w:rsid w:val="166BA82B"/>
    <w:rsid w:val="16BF0347"/>
    <w:rsid w:val="16DB3245"/>
    <w:rsid w:val="172AFEAA"/>
    <w:rsid w:val="1786393B"/>
    <w:rsid w:val="1844433D"/>
    <w:rsid w:val="1921E7D7"/>
    <w:rsid w:val="1958B649"/>
    <w:rsid w:val="1986F514"/>
    <w:rsid w:val="19C90845"/>
    <w:rsid w:val="1A1F9869"/>
    <w:rsid w:val="1A74C4A2"/>
    <w:rsid w:val="1A7CDE8E"/>
    <w:rsid w:val="1AEA71CD"/>
    <w:rsid w:val="1BD4707B"/>
    <w:rsid w:val="1C3E023B"/>
    <w:rsid w:val="1CE0F47D"/>
    <w:rsid w:val="1DE2CD05"/>
    <w:rsid w:val="1E47749D"/>
    <w:rsid w:val="1E4E6999"/>
    <w:rsid w:val="1E798C00"/>
    <w:rsid w:val="1EE5FB50"/>
    <w:rsid w:val="1F62E697"/>
    <w:rsid w:val="1F6E67B7"/>
    <w:rsid w:val="1FB78336"/>
    <w:rsid w:val="21BFA468"/>
    <w:rsid w:val="224B067F"/>
    <w:rsid w:val="23353782"/>
    <w:rsid w:val="2373DBF2"/>
    <w:rsid w:val="23D0CDCF"/>
    <w:rsid w:val="2450A1FF"/>
    <w:rsid w:val="24B21686"/>
    <w:rsid w:val="24F2ED2B"/>
    <w:rsid w:val="25F3419E"/>
    <w:rsid w:val="268F8DFF"/>
    <w:rsid w:val="269C16B1"/>
    <w:rsid w:val="26B68EBD"/>
    <w:rsid w:val="26D8B178"/>
    <w:rsid w:val="26DE148F"/>
    <w:rsid w:val="28DE5BE5"/>
    <w:rsid w:val="296E5D2D"/>
    <w:rsid w:val="29D88B66"/>
    <w:rsid w:val="2A8676A6"/>
    <w:rsid w:val="2AC2D1AB"/>
    <w:rsid w:val="2AE3D8E3"/>
    <w:rsid w:val="2B4AFBA2"/>
    <w:rsid w:val="2BBC9DD1"/>
    <w:rsid w:val="2C4F695F"/>
    <w:rsid w:val="2D760B6A"/>
    <w:rsid w:val="2E70E9AA"/>
    <w:rsid w:val="2F3815A4"/>
    <w:rsid w:val="2F72D963"/>
    <w:rsid w:val="2FC2D0F4"/>
    <w:rsid w:val="30A0F1FE"/>
    <w:rsid w:val="30B4CD8D"/>
    <w:rsid w:val="314053E3"/>
    <w:rsid w:val="31D21B35"/>
    <w:rsid w:val="32237C3A"/>
    <w:rsid w:val="32783949"/>
    <w:rsid w:val="32AB3AF0"/>
    <w:rsid w:val="32B9F2ED"/>
    <w:rsid w:val="32E6CA09"/>
    <w:rsid w:val="33B676C2"/>
    <w:rsid w:val="3420D792"/>
    <w:rsid w:val="3439EDD8"/>
    <w:rsid w:val="34ECA395"/>
    <w:rsid w:val="35730392"/>
    <w:rsid w:val="35974212"/>
    <w:rsid w:val="35B1B150"/>
    <w:rsid w:val="363DE548"/>
    <w:rsid w:val="36738CBB"/>
    <w:rsid w:val="3763F526"/>
    <w:rsid w:val="39018DD1"/>
    <w:rsid w:val="3A1779E0"/>
    <w:rsid w:val="3A467432"/>
    <w:rsid w:val="3AA049A4"/>
    <w:rsid w:val="3AFBECA3"/>
    <w:rsid w:val="3B162223"/>
    <w:rsid w:val="3D44B70E"/>
    <w:rsid w:val="3DA7867F"/>
    <w:rsid w:val="3DE813FA"/>
    <w:rsid w:val="3EC38C1D"/>
    <w:rsid w:val="3EC62EFE"/>
    <w:rsid w:val="3F76BC45"/>
    <w:rsid w:val="3FB94D9B"/>
    <w:rsid w:val="42F1A4B4"/>
    <w:rsid w:val="4320E4C8"/>
    <w:rsid w:val="441FC214"/>
    <w:rsid w:val="463DE675"/>
    <w:rsid w:val="4672A569"/>
    <w:rsid w:val="46CF48F9"/>
    <w:rsid w:val="47780752"/>
    <w:rsid w:val="489341D5"/>
    <w:rsid w:val="48A5B258"/>
    <w:rsid w:val="48A61938"/>
    <w:rsid w:val="48A82F91"/>
    <w:rsid w:val="48B647FC"/>
    <w:rsid w:val="4A40637C"/>
    <w:rsid w:val="4B20D24A"/>
    <w:rsid w:val="4C8AE66E"/>
    <w:rsid w:val="4D40E4BC"/>
    <w:rsid w:val="4DC2B5A1"/>
    <w:rsid w:val="4EDA720E"/>
    <w:rsid w:val="503A72A7"/>
    <w:rsid w:val="503E7AD4"/>
    <w:rsid w:val="50EAC664"/>
    <w:rsid w:val="50EDCC5E"/>
    <w:rsid w:val="51EB08F6"/>
    <w:rsid w:val="520CF61B"/>
    <w:rsid w:val="528D8F75"/>
    <w:rsid w:val="52CB0D60"/>
    <w:rsid w:val="530CE8B8"/>
    <w:rsid w:val="547DFC8B"/>
    <w:rsid w:val="55E90F37"/>
    <w:rsid w:val="565D6176"/>
    <w:rsid w:val="576BC535"/>
    <w:rsid w:val="583D32EB"/>
    <w:rsid w:val="59598D77"/>
    <w:rsid w:val="59AD81C8"/>
    <w:rsid w:val="5A75D989"/>
    <w:rsid w:val="5C811F17"/>
    <w:rsid w:val="5CCC9BE4"/>
    <w:rsid w:val="5D10525D"/>
    <w:rsid w:val="5E1E7CE8"/>
    <w:rsid w:val="5E45ACB5"/>
    <w:rsid w:val="5EAD4DCD"/>
    <w:rsid w:val="5EBDD9B5"/>
    <w:rsid w:val="5F8883D2"/>
    <w:rsid w:val="61194914"/>
    <w:rsid w:val="62A9DC61"/>
    <w:rsid w:val="630C7D0B"/>
    <w:rsid w:val="63389B92"/>
    <w:rsid w:val="63EB6CD5"/>
    <w:rsid w:val="65F34C4A"/>
    <w:rsid w:val="66A2FDD6"/>
    <w:rsid w:val="674E3CD2"/>
    <w:rsid w:val="67DEA31D"/>
    <w:rsid w:val="67E4E86D"/>
    <w:rsid w:val="680AD817"/>
    <w:rsid w:val="68F81423"/>
    <w:rsid w:val="68F9A864"/>
    <w:rsid w:val="692465C1"/>
    <w:rsid w:val="69A5D648"/>
    <w:rsid w:val="6A156FED"/>
    <w:rsid w:val="6A8001BD"/>
    <w:rsid w:val="6B1C9E3A"/>
    <w:rsid w:val="6B682B1D"/>
    <w:rsid w:val="6BE156B5"/>
    <w:rsid w:val="6D8D7D3B"/>
    <w:rsid w:val="6E35B422"/>
    <w:rsid w:val="6E6BBCC1"/>
    <w:rsid w:val="6EBF83E5"/>
    <w:rsid w:val="6FD8B06F"/>
    <w:rsid w:val="71207BC4"/>
    <w:rsid w:val="7131AED5"/>
    <w:rsid w:val="72A5433C"/>
    <w:rsid w:val="72EE475D"/>
    <w:rsid w:val="7395B198"/>
    <w:rsid w:val="73D0C568"/>
    <w:rsid w:val="74D9FE08"/>
    <w:rsid w:val="771AAC91"/>
    <w:rsid w:val="77366810"/>
    <w:rsid w:val="77ACF7BA"/>
    <w:rsid w:val="790CBAD7"/>
    <w:rsid w:val="796BB87E"/>
    <w:rsid w:val="7AD6ED9C"/>
    <w:rsid w:val="7BAC834F"/>
    <w:rsid w:val="7C2A1F67"/>
    <w:rsid w:val="7C2E4295"/>
    <w:rsid w:val="7C68E760"/>
    <w:rsid w:val="7C892883"/>
    <w:rsid w:val="7CBC7960"/>
    <w:rsid w:val="7DBC34FD"/>
    <w:rsid w:val="7EC81989"/>
    <w:rsid w:val="7FCCEE2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C181D"/>
  <w15:chartTrackingRefBased/>
  <w15:docId w15:val="{C6A0B641-C58A-43CC-B78F-58A5C67B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C1168"/>
    <w:pPr>
      <w:spacing w:after="0" w:line="240" w:lineRule="auto"/>
    </w:pPr>
    <w:rPr>
      <w:rFonts w:ascii="Times New Roman" w:eastAsia="Times New Roman" w:hAnsi="Times New Roman" w:cs="Times New Roman"/>
      <w:kern w:val="0"/>
      <w:sz w:val="24"/>
      <w:szCs w:val="24"/>
      <w14:ligatures w14:val="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unhideWhenUsed/>
    <w:rsid w:val="00CC1168"/>
    <w:rPr>
      <w:color w:val="003471"/>
      <w:u w:val="single"/>
    </w:rPr>
  </w:style>
  <w:style w:type="character" w:styleId="Tugev">
    <w:name w:val="Strong"/>
    <w:uiPriority w:val="22"/>
    <w:qFormat/>
    <w:rsid w:val="00CC1168"/>
    <w:rPr>
      <w:b/>
      <w:bCs/>
      <w:sz w:val="24"/>
      <w:szCs w:val="24"/>
      <w:bdr w:val="none" w:sz="0" w:space="0" w:color="auto" w:frame="1"/>
      <w:vertAlign w:val="baseline"/>
    </w:rPr>
  </w:style>
  <w:style w:type="paragraph" w:styleId="Kommentaaritekst">
    <w:name w:val="annotation text"/>
    <w:basedOn w:val="Normaallaad"/>
    <w:link w:val="KommentaaritekstMrk"/>
    <w:unhideWhenUsed/>
    <w:rsid w:val="00CC1168"/>
    <w:rPr>
      <w:sz w:val="20"/>
      <w:szCs w:val="20"/>
    </w:rPr>
  </w:style>
  <w:style w:type="character" w:customStyle="1" w:styleId="KommentaaritekstMrk">
    <w:name w:val="Kommentaari tekst Märk"/>
    <w:basedOn w:val="Liguvaikefont"/>
    <w:link w:val="Kommentaaritekst"/>
    <w:rsid w:val="00CC1168"/>
    <w:rPr>
      <w:rFonts w:ascii="Times New Roman" w:eastAsia="Times New Roman" w:hAnsi="Times New Roman" w:cs="Times New Roman"/>
      <w:kern w:val="0"/>
      <w:sz w:val="20"/>
      <w:szCs w:val="20"/>
      <w14:ligatures w14:val="none"/>
    </w:rPr>
  </w:style>
  <w:style w:type="paragraph" w:styleId="Pealkiri">
    <w:name w:val="Title"/>
    <w:basedOn w:val="Normaallaad"/>
    <w:link w:val="PealkiriMrk"/>
    <w:uiPriority w:val="10"/>
    <w:qFormat/>
    <w:rsid w:val="00CC1168"/>
    <w:pPr>
      <w:overflowPunct w:val="0"/>
      <w:autoSpaceDE w:val="0"/>
      <w:autoSpaceDN w:val="0"/>
      <w:adjustRightInd w:val="0"/>
      <w:spacing w:line="360" w:lineRule="auto"/>
      <w:jc w:val="center"/>
    </w:pPr>
    <w:rPr>
      <w:rFonts w:ascii="Arial" w:hAnsi="Arial" w:cs="Arial"/>
      <w:b/>
      <w:sz w:val="22"/>
      <w:szCs w:val="20"/>
    </w:rPr>
  </w:style>
  <w:style w:type="character" w:customStyle="1" w:styleId="PealkiriMrk">
    <w:name w:val="Pealkiri Märk"/>
    <w:basedOn w:val="Liguvaikefont"/>
    <w:link w:val="Pealkiri"/>
    <w:uiPriority w:val="10"/>
    <w:rsid w:val="00CC1168"/>
    <w:rPr>
      <w:rFonts w:ascii="Arial" w:eastAsia="Times New Roman" w:hAnsi="Arial" w:cs="Arial"/>
      <w:b/>
      <w:kern w:val="0"/>
      <w:szCs w:val="20"/>
      <w14:ligatures w14:val="none"/>
    </w:rPr>
  </w:style>
  <w:style w:type="character" w:styleId="Kommentaariviide">
    <w:name w:val="annotation reference"/>
    <w:semiHidden/>
    <w:unhideWhenUsed/>
    <w:rsid w:val="00CC1168"/>
    <w:rPr>
      <w:sz w:val="16"/>
      <w:szCs w:val="16"/>
    </w:rPr>
  </w:style>
  <w:style w:type="table" w:styleId="Kontuurtabel">
    <w:name w:val="Table Grid"/>
    <w:basedOn w:val="Normaaltabel"/>
    <w:uiPriority w:val="39"/>
    <w:rsid w:val="00CC1168"/>
    <w:pPr>
      <w:spacing w:after="0" w:line="240" w:lineRule="auto"/>
    </w:pPr>
    <w:rPr>
      <w:rFonts w:ascii="Times New Roman" w:eastAsia="Times New Roman" w:hAnsi="Times New Roman" w:cs="Times New Roman"/>
      <w:kern w:val="0"/>
      <w:sz w:val="20"/>
      <w:szCs w:val="20"/>
      <w:lang w:eastAsia="et-E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hendamatamainimine">
    <w:name w:val="Unresolved Mention"/>
    <w:basedOn w:val="Liguvaikefont"/>
    <w:uiPriority w:val="99"/>
    <w:semiHidden/>
    <w:unhideWhenUsed/>
    <w:rsid w:val="005B4B1A"/>
    <w:rPr>
      <w:color w:val="605E5C"/>
      <w:shd w:val="clear" w:color="auto" w:fill="E1DFDD"/>
    </w:rPr>
  </w:style>
  <w:style w:type="paragraph" w:styleId="Pis">
    <w:name w:val="header"/>
    <w:basedOn w:val="Normaallaad"/>
    <w:link w:val="PisMrk"/>
    <w:uiPriority w:val="99"/>
    <w:unhideWhenUsed/>
    <w:rsid w:val="003354E9"/>
    <w:pPr>
      <w:tabs>
        <w:tab w:val="center" w:pos="4536"/>
        <w:tab w:val="right" w:pos="9072"/>
      </w:tabs>
    </w:pPr>
  </w:style>
  <w:style w:type="character" w:customStyle="1" w:styleId="PisMrk">
    <w:name w:val="Päis Märk"/>
    <w:basedOn w:val="Liguvaikefont"/>
    <w:link w:val="Pis"/>
    <w:uiPriority w:val="99"/>
    <w:rsid w:val="003354E9"/>
    <w:rPr>
      <w:rFonts w:ascii="Times New Roman" w:eastAsia="Times New Roman" w:hAnsi="Times New Roman" w:cs="Times New Roman"/>
      <w:kern w:val="0"/>
      <w:sz w:val="24"/>
      <w:szCs w:val="24"/>
      <w14:ligatures w14:val="none"/>
    </w:rPr>
  </w:style>
  <w:style w:type="paragraph" w:styleId="Jalus">
    <w:name w:val="footer"/>
    <w:basedOn w:val="Normaallaad"/>
    <w:link w:val="JalusMrk"/>
    <w:uiPriority w:val="99"/>
    <w:unhideWhenUsed/>
    <w:rsid w:val="003354E9"/>
    <w:pPr>
      <w:tabs>
        <w:tab w:val="center" w:pos="4536"/>
        <w:tab w:val="right" w:pos="9072"/>
      </w:tabs>
    </w:pPr>
  </w:style>
  <w:style w:type="character" w:customStyle="1" w:styleId="JalusMrk">
    <w:name w:val="Jalus Märk"/>
    <w:basedOn w:val="Liguvaikefont"/>
    <w:link w:val="Jalus"/>
    <w:uiPriority w:val="99"/>
    <w:rsid w:val="003354E9"/>
    <w:rPr>
      <w:rFonts w:ascii="Times New Roman" w:eastAsia="Times New Roman" w:hAnsi="Times New Roman" w:cs="Times New Roman"/>
      <w:kern w:val="0"/>
      <w:sz w:val="24"/>
      <w:szCs w:val="24"/>
      <w14:ligatures w14:val="none"/>
    </w:rPr>
  </w:style>
  <w:style w:type="paragraph" w:styleId="Allmrkusetekst">
    <w:name w:val="footnote text"/>
    <w:basedOn w:val="Normaallaad"/>
    <w:link w:val="AllmrkusetekstMrk"/>
    <w:uiPriority w:val="99"/>
    <w:semiHidden/>
    <w:unhideWhenUsed/>
    <w:rsid w:val="00B40C65"/>
    <w:rPr>
      <w:sz w:val="20"/>
      <w:szCs w:val="20"/>
    </w:rPr>
  </w:style>
  <w:style w:type="character" w:customStyle="1" w:styleId="AllmrkusetekstMrk">
    <w:name w:val="Allmärkuse tekst Märk"/>
    <w:basedOn w:val="Liguvaikefont"/>
    <w:link w:val="Allmrkusetekst"/>
    <w:uiPriority w:val="99"/>
    <w:semiHidden/>
    <w:rsid w:val="00B40C65"/>
    <w:rPr>
      <w:rFonts w:ascii="Times New Roman" w:eastAsia="Times New Roman" w:hAnsi="Times New Roman" w:cs="Times New Roman"/>
      <w:kern w:val="0"/>
      <w:sz w:val="20"/>
      <w:szCs w:val="20"/>
      <w14:ligatures w14:val="none"/>
    </w:rPr>
  </w:style>
  <w:style w:type="character" w:styleId="Allmrkuseviide">
    <w:name w:val="footnote reference"/>
    <w:basedOn w:val="Liguvaikefont"/>
    <w:uiPriority w:val="99"/>
    <w:semiHidden/>
    <w:unhideWhenUsed/>
    <w:rsid w:val="00B40C65"/>
    <w:rPr>
      <w:vertAlign w:val="superscript"/>
    </w:rPr>
  </w:style>
  <w:style w:type="paragraph" w:styleId="Redaktsioon">
    <w:name w:val="Revision"/>
    <w:hidden/>
    <w:uiPriority w:val="99"/>
    <w:semiHidden/>
    <w:rsid w:val="00B11D29"/>
    <w:pPr>
      <w:spacing w:after="0" w:line="240" w:lineRule="auto"/>
    </w:pPr>
    <w:rPr>
      <w:rFonts w:ascii="Times New Roman" w:eastAsia="Times New Roman" w:hAnsi="Times New Roman" w:cs="Times New Roman"/>
      <w:kern w:val="0"/>
      <w:sz w:val="24"/>
      <w:szCs w:val="24"/>
      <w14:ligatures w14:val="none"/>
    </w:rPr>
  </w:style>
  <w:style w:type="paragraph" w:styleId="Kommentaariteema">
    <w:name w:val="annotation subject"/>
    <w:basedOn w:val="Kommentaaritekst"/>
    <w:next w:val="Kommentaaritekst"/>
    <w:link w:val="KommentaariteemaMrk"/>
    <w:uiPriority w:val="99"/>
    <w:semiHidden/>
    <w:unhideWhenUsed/>
    <w:rsid w:val="001D429A"/>
    <w:rPr>
      <w:b/>
      <w:bCs/>
    </w:rPr>
  </w:style>
  <w:style w:type="character" w:customStyle="1" w:styleId="KommentaariteemaMrk">
    <w:name w:val="Kommentaari teema Märk"/>
    <w:basedOn w:val="KommentaaritekstMrk"/>
    <w:link w:val="Kommentaariteema"/>
    <w:uiPriority w:val="99"/>
    <w:semiHidden/>
    <w:rsid w:val="001D429A"/>
    <w:rPr>
      <w:rFonts w:ascii="Times New Roman" w:eastAsia="Times New Roman" w:hAnsi="Times New Roman" w:cs="Times New Roman"/>
      <w:b/>
      <w:bCs/>
      <w:kern w:val="0"/>
      <w:sz w:val="20"/>
      <w:szCs w:val="20"/>
      <w14:ligatures w14:val="none"/>
    </w:rPr>
  </w:style>
  <w:style w:type="paragraph" w:styleId="Loendilik">
    <w:name w:val="List Paragraph"/>
    <w:basedOn w:val="Normaallaad"/>
    <w:uiPriority w:val="34"/>
    <w:qFormat/>
    <w:rsid w:val="009D6070"/>
    <w:pPr>
      <w:ind w:left="720"/>
      <w:contextualSpacing/>
    </w:pPr>
  </w:style>
  <w:style w:type="paragraph" w:customStyle="1" w:styleId="xmsonormal">
    <w:name w:val="x_msonormal"/>
    <w:basedOn w:val="Normaallaad"/>
    <w:rsid w:val="008901E7"/>
    <w:pPr>
      <w:spacing w:before="100" w:beforeAutospacing="1" w:after="100" w:afterAutospacing="1"/>
    </w:pPr>
    <w:rPr>
      <w:lang w:eastAsia="et-EE"/>
    </w:rPr>
  </w:style>
  <w:style w:type="paragraph" w:styleId="Normaallaadveeb">
    <w:name w:val="Normal (Web)"/>
    <w:basedOn w:val="Normaallaad"/>
    <w:uiPriority w:val="99"/>
    <w:unhideWhenUsed/>
    <w:rsid w:val="00B237D8"/>
    <w:pPr>
      <w:spacing w:before="100" w:beforeAutospacing="1" w:after="100" w:afterAutospacing="1"/>
    </w:pPr>
    <w:rPr>
      <w:lang w:eastAsia="et-EE"/>
    </w:rPr>
  </w:style>
  <w:style w:type="paragraph" w:customStyle="1" w:styleId="paragraph">
    <w:name w:val="paragraph"/>
    <w:basedOn w:val="Normaallaad"/>
    <w:rsid w:val="008B756C"/>
    <w:pPr>
      <w:spacing w:before="100" w:beforeAutospacing="1" w:after="100" w:afterAutospacing="1"/>
    </w:pPr>
    <w:rPr>
      <w:lang w:eastAsia="et-EE"/>
    </w:rPr>
  </w:style>
  <w:style w:type="character" w:customStyle="1" w:styleId="normaltextrun">
    <w:name w:val="normaltextrun"/>
    <w:basedOn w:val="Liguvaikefont"/>
    <w:rsid w:val="008B756C"/>
  </w:style>
  <w:style w:type="character" w:customStyle="1" w:styleId="tabchar">
    <w:name w:val="tabchar"/>
    <w:basedOn w:val="Liguvaikefont"/>
    <w:rsid w:val="008B756C"/>
  </w:style>
  <w:style w:type="character" w:customStyle="1" w:styleId="eop">
    <w:name w:val="eop"/>
    <w:basedOn w:val="Liguvaikefont"/>
    <w:rsid w:val="008B756C"/>
  </w:style>
  <w:style w:type="character" w:styleId="Klastatudhperlink">
    <w:name w:val="FollowedHyperlink"/>
    <w:basedOn w:val="Liguvaikefont"/>
    <w:uiPriority w:val="99"/>
    <w:semiHidden/>
    <w:unhideWhenUsed/>
    <w:rsid w:val="00B02E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8617">
      <w:bodyDiv w:val="1"/>
      <w:marLeft w:val="0"/>
      <w:marRight w:val="0"/>
      <w:marTop w:val="0"/>
      <w:marBottom w:val="0"/>
      <w:divBdr>
        <w:top w:val="none" w:sz="0" w:space="0" w:color="auto"/>
        <w:left w:val="none" w:sz="0" w:space="0" w:color="auto"/>
        <w:bottom w:val="none" w:sz="0" w:space="0" w:color="auto"/>
        <w:right w:val="none" w:sz="0" w:space="0" w:color="auto"/>
      </w:divBdr>
    </w:div>
    <w:div w:id="337579006">
      <w:bodyDiv w:val="1"/>
      <w:marLeft w:val="0"/>
      <w:marRight w:val="0"/>
      <w:marTop w:val="0"/>
      <w:marBottom w:val="0"/>
      <w:divBdr>
        <w:top w:val="none" w:sz="0" w:space="0" w:color="auto"/>
        <w:left w:val="none" w:sz="0" w:space="0" w:color="auto"/>
        <w:bottom w:val="none" w:sz="0" w:space="0" w:color="auto"/>
        <w:right w:val="none" w:sz="0" w:space="0" w:color="auto"/>
      </w:divBdr>
    </w:div>
    <w:div w:id="668676917">
      <w:bodyDiv w:val="1"/>
      <w:marLeft w:val="0"/>
      <w:marRight w:val="0"/>
      <w:marTop w:val="0"/>
      <w:marBottom w:val="0"/>
      <w:divBdr>
        <w:top w:val="none" w:sz="0" w:space="0" w:color="auto"/>
        <w:left w:val="none" w:sz="0" w:space="0" w:color="auto"/>
        <w:bottom w:val="none" w:sz="0" w:space="0" w:color="auto"/>
        <w:right w:val="none" w:sz="0" w:space="0" w:color="auto"/>
      </w:divBdr>
      <w:divsChild>
        <w:div w:id="982805876">
          <w:marLeft w:val="0"/>
          <w:marRight w:val="0"/>
          <w:marTop w:val="0"/>
          <w:marBottom w:val="0"/>
          <w:divBdr>
            <w:top w:val="none" w:sz="0" w:space="0" w:color="auto"/>
            <w:left w:val="none" w:sz="0" w:space="0" w:color="auto"/>
            <w:bottom w:val="none" w:sz="0" w:space="0" w:color="auto"/>
            <w:right w:val="none" w:sz="0" w:space="0" w:color="auto"/>
          </w:divBdr>
        </w:div>
        <w:div w:id="1981568558">
          <w:marLeft w:val="0"/>
          <w:marRight w:val="0"/>
          <w:marTop w:val="0"/>
          <w:marBottom w:val="0"/>
          <w:divBdr>
            <w:top w:val="none" w:sz="0" w:space="0" w:color="auto"/>
            <w:left w:val="none" w:sz="0" w:space="0" w:color="auto"/>
            <w:bottom w:val="none" w:sz="0" w:space="0" w:color="auto"/>
            <w:right w:val="none" w:sz="0" w:space="0" w:color="auto"/>
          </w:divBdr>
        </w:div>
      </w:divsChild>
    </w:div>
    <w:div w:id="775440630">
      <w:bodyDiv w:val="1"/>
      <w:marLeft w:val="0"/>
      <w:marRight w:val="0"/>
      <w:marTop w:val="0"/>
      <w:marBottom w:val="0"/>
      <w:divBdr>
        <w:top w:val="none" w:sz="0" w:space="0" w:color="auto"/>
        <w:left w:val="none" w:sz="0" w:space="0" w:color="auto"/>
        <w:bottom w:val="none" w:sz="0" w:space="0" w:color="auto"/>
        <w:right w:val="none" w:sz="0" w:space="0" w:color="auto"/>
      </w:divBdr>
    </w:div>
    <w:div w:id="1010446521">
      <w:bodyDiv w:val="1"/>
      <w:marLeft w:val="0"/>
      <w:marRight w:val="0"/>
      <w:marTop w:val="0"/>
      <w:marBottom w:val="0"/>
      <w:divBdr>
        <w:top w:val="none" w:sz="0" w:space="0" w:color="auto"/>
        <w:left w:val="none" w:sz="0" w:space="0" w:color="auto"/>
        <w:bottom w:val="none" w:sz="0" w:space="0" w:color="auto"/>
        <w:right w:val="none" w:sz="0" w:space="0" w:color="auto"/>
      </w:divBdr>
    </w:div>
    <w:div w:id="1244993616">
      <w:bodyDiv w:val="1"/>
      <w:marLeft w:val="0"/>
      <w:marRight w:val="0"/>
      <w:marTop w:val="0"/>
      <w:marBottom w:val="0"/>
      <w:divBdr>
        <w:top w:val="none" w:sz="0" w:space="0" w:color="auto"/>
        <w:left w:val="none" w:sz="0" w:space="0" w:color="auto"/>
        <w:bottom w:val="none" w:sz="0" w:space="0" w:color="auto"/>
        <w:right w:val="none" w:sz="0" w:space="0" w:color="auto"/>
      </w:divBdr>
    </w:div>
    <w:div w:id="1325208337">
      <w:bodyDiv w:val="1"/>
      <w:marLeft w:val="0"/>
      <w:marRight w:val="0"/>
      <w:marTop w:val="0"/>
      <w:marBottom w:val="0"/>
      <w:divBdr>
        <w:top w:val="none" w:sz="0" w:space="0" w:color="auto"/>
        <w:left w:val="none" w:sz="0" w:space="0" w:color="auto"/>
        <w:bottom w:val="none" w:sz="0" w:space="0" w:color="auto"/>
        <w:right w:val="none" w:sz="0" w:space="0" w:color="auto"/>
      </w:divBdr>
    </w:div>
    <w:div w:id="1382482441">
      <w:bodyDiv w:val="1"/>
      <w:marLeft w:val="0"/>
      <w:marRight w:val="0"/>
      <w:marTop w:val="0"/>
      <w:marBottom w:val="0"/>
      <w:divBdr>
        <w:top w:val="none" w:sz="0" w:space="0" w:color="auto"/>
        <w:left w:val="none" w:sz="0" w:space="0" w:color="auto"/>
        <w:bottom w:val="none" w:sz="0" w:space="0" w:color="auto"/>
        <w:right w:val="none" w:sz="0" w:space="0" w:color="auto"/>
      </w:divBdr>
    </w:div>
    <w:div w:id="1640064569">
      <w:bodyDiv w:val="1"/>
      <w:marLeft w:val="0"/>
      <w:marRight w:val="0"/>
      <w:marTop w:val="0"/>
      <w:marBottom w:val="0"/>
      <w:divBdr>
        <w:top w:val="none" w:sz="0" w:space="0" w:color="auto"/>
        <w:left w:val="none" w:sz="0" w:space="0" w:color="auto"/>
        <w:bottom w:val="none" w:sz="0" w:space="0" w:color="auto"/>
        <w:right w:val="none" w:sz="0" w:space="0" w:color="auto"/>
      </w:divBdr>
      <w:divsChild>
        <w:div w:id="1498376956">
          <w:marLeft w:val="0"/>
          <w:marRight w:val="0"/>
          <w:marTop w:val="0"/>
          <w:marBottom w:val="0"/>
          <w:divBdr>
            <w:top w:val="none" w:sz="0" w:space="0" w:color="auto"/>
            <w:left w:val="none" w:sz="0" w:space="0" w:color="auto"/>
            <w:bottom w:val="none" w:sz="0" w:space="0" w:color="auto"/>
            <w:right w:val="none" w:sz="0" w:space="0" w:color="auto"/>
          </w:divBdr>
        </w:div>
        <w:div w:id="1902906605">
          <w:marLeft w:val="0"/>
          <w:marRight w:val="0"/>
          <w:marTop w:val="0"/>
          <w:marBottom w:val="0"/>
          <w:divBdr>
            <w:top w:val="none" w:sz="0" w:space="0" w:color="auto"/>
            <w:left w:val="none" w:sz="0" w:space="0" w:color="auto"/>
            <w:bottom w:val="none" w:sz="0" w:space="0" w:color="auto"/>
            <w:right w:val="none" w:sz="0" w:space="0" w:color="auto"/>
          </w:divBdr>
        </w:div>
        <w:div w:id="2129348625">
          <w:marLeft w:val="0"/>
          <w:marRight w:val="0"/>
          <w:marTop w:val="0"/>
          <w:marBottom w:val="0"/>
          <w:divBdr>
            <w:top w:val="none" w:sz="0" w:space="0" w:color="auto"/>
            <w:left w:val="none" w:sz="0" w:space="0" w:color="auto"/>
            <w:bottom w:val="none" w:sz="0" w:space="0" w:color="auto"/>
            <w:right w:val="none" w:sz="0" w:space="0" w:color="auto"/>
          </w:divBdr>
        </w:div>
      </w:divsChild>
    </w:div>
    <w:div w:id="1805854549">
      <w:bodyDiv w:val="1"/>
      <w:marLeft w:val="0"/>
      <w:marRight w:val="0"/>
      <w:marTop w:val="0"/>
      <w:marBottom w:val="0"/>
      <w:divBdr>
        <w:top w:val="none" w:sz="0" w:space="0" w:color="auto"/>
        <w:left w:val="none" w:sz="0" w:space="0" w:color="auto"/>
        <w:bottom w:val="none" w:sz="0" w:space="0" w:color="auto"/>
        <w:right w:val="none" w:sz="0" w:space="0" w:color="auto"/>
      </w:divBdr>
    </w:div>
    <w:div w:id="1857688491">
      <w:bodyDiv w:val="1"/>
      <w:marLeft w:val="0"/>
      <w:marRight w:val="0"/>
      <w:marTop w:val="0"/>
      <w:marBottom w:val="0"/>
      <w:divBdr>
        <w:top w:val="none" w:sz="0" w:space="0" w:color="auto"/>
        <w:left w:val="none" w:sz="0" w:space="0" w:color="auto"/>
        <w:bottom w:val="none" w:sz="0" w:space="0" w:color="auto"/>
        <w:right w:val="none" w:sz="0" w:space="0" w:color="auto"/>
      </w:divBdr>
    </w:div>
    <w:div w:id="213162635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rle.sumil-laanemaa@sm.ee"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chart" Target="charts/chart2.xml"/><Relationship Id="rId7" Type="http://schemas.openxmlformats.org/officeDocument/2006/relationships/settings" Target="settings.xml"/><Relationship Id="rId12" Type="http://schemas.openxmlformats.org/officeDocument/2006/relationships/hyperlink" Target="mailto:magnus.piirits@sm.ee" TargetMode="External"/><Relationship Id="rId17" Type="http://schemas.openxmlformats.org/officeDocument/2006/relationships/image" Target="cid:1fe1dc20-5d60-4f76-b309-5b91c322153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idia.soontak@sm.e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eet.kodu@sm.e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cid:24d2687b-97f1-45a7-96be-2050310cc9c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o.reitalu@sm.ee" TargetMode="External"/><Relationship Id="rId22" Type="http://schemas.openxmlformats.org/officeDocument/2006/relationships/chart" Target="charts/chart3.xml"/></Relationships>
</file>

<file path=word/_rels/footnotes.xml.rels><?xml version="1.0" encoding="UTF-8" standalone="yes"?>
<Relationships xmlns="http://schemas.openxmlformats.org/package/2006/relationships"><Relationship Id="rId8" Type="http://schemas.openxmlformats.org/officeDocument/2006/relationships/hyperlink" Target="https://mkm.ee/sites/default/files/documents/2023-07/vanemaealised_tooturul_loppraport.pdf" TargetMode="External"/><Relationship Id="rId13" Type="http://schemas.openxmlformats.org/officeDocument/2006/relationships/hyperlink" Target="https://link.springer.com/article/10.1007/s12062-020-09280-9" TargetMode="External"/><Relationship Id="rId18" Type="http://schemas.openxmlformats.org/officeDocument/2006/relationships/hyperlink" Target="https://www.sotsiaalkindlustusamet.ee/asutus-uudised-ja-kontakt/praktiline-teave/statistika" TargetMode="External"/><Relationship Id="rId3" Type="http://schemas.openxmlformats.org/officeDocument/2006/relationships/hyperlink" Target="https://ec.europa.eu/eurostat/databrowser/bookmark/a834b579-b3e0-40a3-96ff-a693a4f18339?lang=en&amp;createdAt=2026-06-08T06:53:03Z" TargetMode="External"/><Relationship Id="rId7" Type="http://schemas.openxmlformats.org/officeDocument/2006/relationships/hyperlink" Target="https://op.europa.eu/en/publication-detail/-/publication/c854e35f-2eb1-11ef-a61b-01aa75ed71a1/language-en" TargetMode="External"/><Relationship Id="rId12" Type="http://schemas.openxmlformats.org/officeDocument/2006/relationships/hyperlink" Target="https://www.eurofound.europa.eu/en/publications/all/keeping-older-workers-labour-force" TargetMode="External"/><Relationship Id="rId17" Type="http://schemas.openxmlformats.org/officeDocument/2006/relationships/hyperlink" Target="https://www.eestipank.ee/publikatsioonid/toimetised/2020/32020-orsolya-soosaar-allan-puur-lauri-leppik-kas-pensioniea-kergitamine-pikendab-tooelu-eesti" TargetMode="External"/><Relationship Id="rId2" Type="http://schemas.openxmlformats.org/officeDocument/2006/relationships/hyperlink" Target="https://andmed.stat.ee/et/stat/rahvastik__rahvastikunaitajad-ja-koosseis__rahvaarv-ja-rahvastiku-koosseis/RV0212" TargetMode="External"/><Relationship Id="rId16" Type="http://schemas.openxmlformats.org/officeDocument/2006/relationships/hyperlink" Target="https://www.etk.fi/en/topical-issues/rising-retirement-age-reflected-in-rising-employment-rate-unemployment-and-disability-have-also-increased/" TargetMode="External"/><Relationship Id="rId20" Type="http://schemas.openxmlformats.org/officeDocument/2006/relationships/hyperlink" Target="https://www.sm.ee/sites/default/files/content-editors/Uudised_pressiinfo/vanaduspensioni_jatkusuutlikkuse_analuus_2016.pdf" TargetMode="External"/><Relationship Id="rId1" Type="http://schemas.openxmlformats.org/officeDocument/2006/relationships/hyperlink" Target="https://andmed.stat.ee/et/stat/rahvastik__rahvastikunaitajad-ja-koosseis__rahvaarv-ja-rahvastiku-koosseis/RV083" TargetMode="External"/><Relationship Id="rId6" Type="http://schemas.openxmlformats.org/officeDocument/2006/relationships/hyperlink" Target="https://www.oecd.org/content/dam/oecd/en/publications/reports/2025/11/pensions-at-a-glance-2025_76510fe4/e40274c1-en.pdf" TargetMode="External"/><Relationship Id="rId11" Type="http://schemas.openxmlformats.org/officeDocument/2006/relationships/hyperlink" Target="https://www.oecd.org/en/publications/labour-supply-of-older-people-in-advance-economies-the-impact-of-changes-to-statutory-retirement-ages_b9f8d292-en.html" TargetMode="External"/><Relationship Id="rId5" Type="http://schemas.openxmlformats.org/officeDocument/2006/relationships/hyperlink" Target="https://www.oecd.org/en/publications/oecd-employment-outlook-2025_194a947b-en/full-report/navigating-the-golden-years-making-the-labour-market-work-for-older-workers_2bc681ed.html" TargetMode="External"/><Relationship Id="rId15" Type="http://schemas.openxmlformats.org/officeDocument/2006/relationships/hyperlink" Target="https://www.nber.org/system/files/working_papers/w11811/w11811.pdf" TargetMode="External"/><Relationship Id="rId10" Type="http://schemas.openxmlformats.org/officeDocument/2006/relationships/hyperlink" Target="https://www.oecd.org/en/publications/is-it-worth-raising-the-normal-retirement-age_5f2a3b40-en.html" TargetMode="External"/><Relationship Id="rId19" Type="http://schemas.openxmlformats.org/officeDocument/2006/relationships/hyperlink" Target="https://www.sm.ee/sites/default/files/documents/2022-12/Eesti%20pensionis%C3%BCsteemi%20j%C3%A4tkusuutlikkuse%20anal%C3%BC%C3%BCs_sotsiaalministeerium.pdf" TargetMode="External"/><Relationship Id="rId4" Type="http://schemas.openxmlformats.org/officeDocument/2006/relationships/hyperlink" Target="https://ec.europa.eu/eurostat/databrowser/view/proj_25nalexp__custom_21668887/default/table" TargetMode="External"/><Relationship Id="rId9" Type="http://schemas.openxmlformats.org/officeDocument/2006/relationships/hyperlink" Target="https://www.sm.ee/sites/default/files/documents/2023-04/Heaolu%20arengukava%202023-2030.pdf" TargetMode="External"/><Relationship Id="rId14" Type="http://schemas.openxmlformats.org/officeDocument/2006/relationships/hyperlink" Target="https://link.springer.com/article/10.1186/s12877-022-03690-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eegovg01-my.sharepoint.com/personal/elo_reitalu_sm_ee/Documents/failid/m&#245;jud/pension/_oodatava%20eluea%20sidumine%20pensionieaga/2026/TT330_2025_t&#246;&#246;h&#245;ivem&#228;&#228;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eegovg01-my.sharepoint.com/personal/elo_reitalu_sm_ee/Documents/failid/m&#245;jud/pension/_oodatava%20eluea%20sidumine%20pensionieaga/2026/Eurostat_tps0009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eegovg01-my.sharepoint.com/personal/elo_reitalu_sm_ee/Documents/failid/m&#245;jud/pension/_oodatava%20eluea%20sidumine%20pensionieaga/2026/arvutused_t&#246;&#246;ealiste%20(18-64)-pensioniealiste%20suhe.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Leht1!$A$3</c:f>
              <c:strCache>
                <c:ptCount val="1"/>
                <c:pt idx="0">
                  <c:v>Mehed</c:v>
                </c:pt>
              </c:strCache>
            </c:strRef>
          </c:tx>
          <c:spPr>
            <a:solidFill>
              <a:schemeClr val="bg1">
                <a:lumMod val="65000"/>
              </a:schemeClr>
            </a:solidFill>
            <a:ln>
              <a:noFill/>
            </a:ln>
            <a:effectLst/>
          </c:spPr>
          <c:invertIfNegative val="0"/>
          <c:cat>
            <c:strRef>
              <c:f>Leht1!$B$1:$M$1</c:f>
              <c:strCache>
                <c:ptCount val="12"/>
                <c:pt idx="0">
                  <c:v>15-19</c:v>
                </c:pt>
                <c:pt idx="1">
                  <c:v>20-24</c:v>
                </c:pt>
                <c:pt idx="2">
                  <c:v>25-29</c:v>
                </c:pt>
                <c:pt idx="3">
                  <c:v>30-34</c:v>
                </c:pt>
                <c:pt idx="4">
                  <c:v>35-39</c:v>
                </c:pt>
                <c:pt idx="5">
                  <c:v>40-44</c:v>
                </c:pt>
                <c:pt idx="6">
                  <c:v>45-49</c:v>
                </c:pt>
                <c:pt idx="7">
                  <c:v>50-54</c:v>
                </c:pt>
                <c:pt idx="8">
                  <c:v>55-59 </c:v>
                </c:pt>
                <c:pt idx="9">
                  <c:v>60-64 </c:v>
                </c:pt>
                <c:pt idx="10">
                  <c:v>65-69</c:v>
                </c:pt>
                <c:pt idx="11">
                  <c:v>70-74</c:v>
                </c:pt>
              </c:strCache>
            </c:strRef>
          </c:cat>
          <c:val>
            <c:numRef>
              <c:f>Leht1!$B$3:$M$3</c:f>
              <c:numCache>
                <c:formatCode>0.0</c:formatCode>
                <c:ptCount val="12"/>
                <c:pt idx="0">
                  <c:v>10.8</c:v>
                </c:pt>
                <c:pt idx="1">
                  <c:v>61.5</c:v>
                </c:pt>
                <c:pt idx="2">
                  <c:v>81.5</c:v>
                </c:pt>
                <c:pt idx="3">
                  <c:v>90.3</c:v>
                </c:pt>
                <c:pt idx="4">
                  <c:v>88.5</c:v>
                </c:pt>
                <c:pt idx="5">
                  <c:v>87.3</c:v>
                </c:pt>
                <c:pt idx="6">
                  <c:v>86.7</c:v>
                </c:pt>
                <c:pt idx="7">
                  <c:v>83.7</c:v>
                </c:pt>
                <c:pt idx="8">
                  <c:v>78.2</c:v>
                </c:pt>
                <c:pt idx="9">
                  <c:v>68.599999999999994</c:v>
                </c:pt>
                <c:pt idx="10">
                  <c:v>41</c:v>
                </c:pt>
                <c:pt idx="11">
                  <c:v>22.4</c:v>
                </c:pt>
              </c:numCache>
            </c:numRef>
          </c:val>
          <c:extLst>
            <c:ext xmlns:c16="http://schemas.microsoft.com/office/drawing/2014/chart" uri="{C3380CC4-5D6E-409C-BE32-E72D297353CC}">
              <c16:uniqueId val="{00000000-5255-4055-9DE8-7093A62C7FBE}"/>
            </c:ext>
          </c:extLst>
        </c:ser>
        <c:ser>
          <c:idx val="2"/>
          <c:order val="2"/>
          <c:tx>
            <c:strRef>
              <c:f>Leht1!$A$4</c:f>
              <c:strCache>
                <c:ptCount val="1"/>
                <c:pt idx="0">
                  <c:v>Naised</c:v>
                </c:pt>
              </c:strCache>
            </c:strRef>
          </c:tx>
          <c:spPr>
            <a:solidFill>
              <a:srgbClr val="0070C0"/>
            </a:solidFill>
            <a:ln>
              <a:noFill/>
            </a:ln>
            <a:effectLst/>
          </c:spPr>
          <c:invertIfNegative val="0"/>
          <c:cat>
            <c:strRef>
              <c:f>Leht1!$B$1:$M$1</c:f>
              <c:strCache>
                <c:ptCount val="12"/>
                <c:pt idx="0">
                  <c:v>15-19</c:v>
                </c:pt>
                <c:pt idx="1">
                  <c:v>20-24</c:v>
                </c:pt>
                <c:pt idx="2">
                  <c:v>25-29</c:v>
                </c:pt>
                <c:pt idx="3">
                  <c:v>30-34</c:v>
                </c:pt>
                <c:pt idx="4">
                  <c:v>35-39</c:v>
                </c:pt>
                <c:pt idx="5">
                  <c:v>40-44</c:v>
                </c:pt>
                <c:pt idx="6">
                  <c:v>45-49</c:v>
                </c:pt>
                <c:pt idx="7">
                  <c:v>50-54</c:v>
                </c:pt>
                <c:pt idx="8">
                  <c:v>55-59 </c:v>
                </c:pt>
                <c:pt idx="9">
                  <c:v>60-64 </c:v>
                </c:pt>
                <c:pt idx="10">
                  <c:v>65-69</c:v>
                </c:pt>
                <c:pt idx="11">
                  <c:v>70-74</c:v>
                </c:pt>
              </c:strCache>
            </c:strRef>
          </c:cat>
          <c:val>
            <c:numRef>
              <c:f>Leht1!$B$4:$M$4</c:f>
              <c:numCache>
                <c:formatCode>0.0</c:formatCode>
                <c:ptCount val="12"/>
                <c:pt idx="0">
                  <c:v>11.6</c:v>
                </c:pt>
                <c:pt idx="1">
                  <c:v>60.3</c:v>
                </c:pt>
                <c:pt idx="2">
                  <c:v>85.1</c:v>
                </c:pt>
                <c:pt idx="3">
                  <c:v>83</c:v>
                </c:pt>
                <c:pt idx="4">
                  <c:v>81.5</c:v>
                </c:pt>
                <c:pt idx="5">
                  <c:v>85</c:v>
                </c:pt>
                <c:pt idx="6">
                  <c:v>86.3</c:v>
                </c:pt>
                <c:pt idx="7">
                  <c:v>86.6</c:v>
                </c:pt>
                <c:pt idx="8">
                  <c:v>86.3</c:v>
                </c:pt>
                <c:pt idx="9">
                  <c:v>74.3</c:v>
                </c:pt>
                <c:pt idx="10">
                  <c:v>36.9</c:v>
                </c:pt>
                <c:pt idx="11">
                  <c:v>16.5</c:v>
                </c:pt>
              </c:numCache>
            </c:numRef>
          </c:val>
          <c:extLst>
            <c:ext xmlns:c16="http://schemas.microsoft.com/office/drawing/2014/chart" uri="{C3380CC4-5D6E-409C-BE32-E72D297353CC}">
              <c16:uniqueId val="{00000001-5255-4055-9DE8-7093A62C7FBE}"/>
            </c:ext>
          </c:extLst>
        </c:ser>
        <c:dLbls>
          <c:showLegendKey val="0"/>
          <c:showVal val="0"/>
          <c:showCatName val="0"/>
          <c:showSerName val="0"/>
          <c:showPercent val="0"/>
          <c:showBubbleSize val="0"/>
        </c:dLbls>
        <c:gapWidth val="219"/>
        <c:axId val="807041855"/>
        <c:axId val="807034655"/>
      </c:barChart>
      <c:lineChart>
        <c:grouping val="standard"/>
        <c:varyColors val="0"/>
        <c:ser>
          <c:idx val="0"/>
          <c:order val="0"/>
          <c:tx>
            <c:strRef>
              <c:f>Leht1!$A$2</c:f>
              <c:strCache>
                <c:ptCount val="1"/>
                <c:pt idx="0">
                  <c:v>Kokku</c:v>
                </c:pt>
              </c:strCache>
            </c:strRef>
          </c:tx>
          <c:spPr>
            <a:ln w="28575" cap="rnd">
              <a:solidFill>
                <a:schemeClr val="tx1"/>
              </a:solidFill>
              <a:round/>
            </a:ln>
            <a:effectLst/>
          </c:spPr>
          <c:marker>
            <c:symbol val="none"/>
          </c:marker>
          <c:cat>
            <c:strRef>
              <c:f>Leht1!$B$1:$M$1</c:f>
              <c:strCache>
                <c:ptCount val="12"/>
                <c:pt idx="0">
                  <c:v>15-19</c:v>
                </c:pt>
                <c:pt idx="1">
                  <c:v>20-24</c:v>
                </c:pt>
                <c:pt idx="2">
                  <c:v>25-29</c:v>
                </c:pt>
                <c:pt idx="3">
                  <c:v>30-34</c:v>
                </c:pt>
                <c:pt idx="4">
                  <c:v>35-39</c:v>
                </c:pt>
                <c:pt idx="5">
                  <c:v>40-44</c:v>
                </c:pt>
                <c:pt idx="6">
                  <c:v>45-49</c:v>
                </c:pt>
                <c:pt idx="7">
                  <c:v>50-54</c:v>
                </c:pt>
                <c:pt idx="8">
                  <c:v>55-59 </c:v>
                </c:pt>
                <c:pt idx="9">
                  <c:v>60-64 </c:v>
                </c:pt>
                <c:pt idx="10">
                  <c:v>65-69</c:v>
                </c:pt>
                <c:pt idx="11">
                  <c:v>70-74</c:v>
                </c:pt>
              </c:strCache>
            </c:strRef>
          </c:cat>
          <c:val>
            <c:numRef>
              <c:f>Leht1!$B$2:$M$2</c:f>
              <c:numCache>
                <c:formatCode>0.0</c:formatCode>
                <c:ptCount val="12"/>
                <c:pt idx="0">
                  <c:v>11.2</c:v>
                </c:pt>
                <c:pt idx="1">
                  <c:v>60.8</c:v>
                </c:pt>
                <c:pt idx="2">
                  <c:v>83.3</c:v>
                </c:pt>
                <c:pt idx="3">
                  <c:v>86.8</c:v>
                </c:pt>
                <c:pt idx="4">
                  <c:v>85.2</c:v>
                </c:pt>
                <c:pt idx="5">
                  <c:v>86.2</c:v>
                </c:pt>
                <c:pt idx="6">
                  <c:v>86.5</c:v>
                </c:pt>
                <c:pt idx="7">
                  <c:v>85.2</c:v>
                </c:pt>
                <c:pt idx="8">
                  <c:v>82.4</c:v>
                </c:pt>
                <c:pt idx="9">
                  <c:v>71.7</c:v>
                </c:pt>
                <c:pt idx="10">
                  <c:v>38.6</c:v>
                </c:pt>
                <c:pt idx="11">
                  <c:v>18.8</c:v>
                </c:pt>
              </c:numCache>
            </c:numRef>
          </c:val>
          <c:smooth val="0"/>
          <c:extLst>
            <c:ext xmlns:c16="http://schemas.microsoft.com/office/drawing/2014/chart" uri="{C3380CC4-5D6E-409C-BE32-E72D297353CC}">
              <c16:uniqueId val="{00000002-5255-4055-9DE8-7093A62C7FBE}"/>
            </c:ext>
          </c:extLst>
        </c:ser>
        <c:dLbls>
          <c:showLegendKey val="0"/>
          <c:showVal val="0"/>
          <c:showCatName val="0"/>
          <c:showSerName val="0"/>
          <c:showPercent val="0"/>
          <c:showBubbleSize val="0"/>
        </c:dLbls>
        <c:marker val="1"/>
        <c:smooth val="0"/>
        <c:axId val="1247115951"/>
        <c:axId val="1247114991"/>
      </c:lineChart>
      <c:catAx>
        <c:axId val="807041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807034655"/>
        <c:crosses val="autoZero"/>
        <c:auto val="1"/>
        <c:lblAlgn val="ctr"/>
        <c:lblOffset val="100"/>
        <c:noMultiLvlLbl val="0"/>
      </c:catAx>
      <c:valAx>
        <c:axId val="8070346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807041855"/>
        <c:crosses val="autoZero"/>
        <c:crossBetween val="between"/>
      </c:valAx>
      <c:valAx>
        <c:axId val="124711499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247115951"/>
        <c:crosses val="max"/>
        <c:crossBetween val="between"/>
      </c:valAx>
      <c:catAx>
        <c:axId val="1247115951"/>
        <c:scaling>
          <c:orientation val="minMax"/>
        </c:scaling>
        <c:delete val="1"/>
        <c:axPos val="b"/>
        <c:numFmt formatCode="General" sourceLinked="1"/>
        <c:majorTickMark val="out"/>
        <c:minorTickMark val="none"/>
        <c:tickLblPos val="nextTo"/>
        <c:crossAx val="124711499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t-EE" sz="900" b="0" i="1"/>
              <a:t>(% of GDP)</a:t>
            </a:r>
          </a:p>
        </c:rich>
      </c:tx>
      <c:layout>
        <c:manualLayout>
          <c:xMode val="edge"/>
          <c:yMode val="edge"/>
          <c:x val="1.037821985131436E-3"/>
          <c:y val="2.307188826666016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t-EE"/>
        </a:p>
      </c:txPr>
    </c:title>
    <c:autoTitleDeleted val="0"/>
    <c:plotArea>
      <c:layout>
        <c:manualLayout>
          <c:layoutTarget val="inner"/>
          <c:xMode val="edge"/>
          <c:yMode val="edge"/>
          <c:x val="4.6600108810257362E-2"/>
          <c:y val="0.10618605050279908"/>
          <c:w val="0.91615246561957753"/>
          <c:h val="0.71390157302473334"/>
        </c:manualLayout>
      </c:layout>
      <c:barChart>
        <c:barDir val="col"/>
        <c:grouping val="clustered"/>
        <c:varyColors val="0"/>
        <c:ser>
          <c:idx val="0"/>
          <c:order val="0"/>
          <c:tx>
            <c:strRef>
              <c:f>'Sheet 1 (2)'!$B$1</c:f>
              <c:strCache>
                <c:ptCount val="1"/>
                <c:pt idx="0">
                  <c:v>2022</c:v>
                </c:pt>
              </c:strCache>
            </c:strRef>
          </c:tx>
          <c:spPr>
            <a:solidFill>
              <a:schemeClr val="bg1">
                <a:lumMod val="65000"/>
              </a:schemeClr>
            </a:solidFill>
            <a:ln>
              <a:solidFill>
                <a:schemeClr val="bg1"/>
              </a:solidFill>
            </a:ln>
            <a:effectLst/>
          </c:spPr>
          <c:invertIfNegative val="0"/>
          <c:cat>
            <c:strRef>
              <c:f>'Sheet 1 (2)'!$A$2:$A$31</c:f>
              <c:strCache>
                <c:ptCount val="30"/>
                <c:pt idx="0">
                  <c:v>EU  </c:v>
                </c:pt>
                <c:pt idx="2">
                  <c:v>France</c:v>
                </c:pt>
                <c:pt idx="3">
                  <c:v>Finland</c:v>
                </c:pt>
                <c:pt idx="4">
                  <c:v>Austria</c:v>
                </c:pt>
                <c:pt idx="5">
                  <c:v>Germany</c:v>
                </c:pt>
                <c:pt idx="6">
                  <c:v>Denmark</c:v>
                </c:pt>
                <c:pt idx="7">
                  <c:v>Belgium</c:v>
                </c:pt>
                <c:pt idx="8">
                  <c:v>Italy</c:v>
                </c:pt>
                <c:pt idx="9">
                  <c:v>Sweden</c:v>
                </c:pt>
                <c:pt idx="10">
                  <c:v>Netherlands</c:v>
                </c:pt>
                <c:pt idx="11">
                  <c:v>Spain</c:v>
                </c:pt>
                <c:pt idx="12">
                  <c:v>Iceland</c:v>
                </c:pt>
                <c:pt idx="13">
                  <c:v>Greece</c:v>
                </c:pt>
                <c:pt idx="14">
                  <c:v>Portugal</c:v>
                </c:pt>
                <c:pt idx="15">
                  <c:v>Slovenia</c:v>
                </c:pt>
                <c:pt idx="16">
                  <c:v>Luxembourg</c:v>
                </c:pt>
                <c:pt idx="17">
                  <c:v>Poland</c:v>
                </c:pt>
                <c:pt idx="18">
                  <c:v>Czechia</c:v>
                </c:pt>
                <c:pt idx="19">
                  <c:v>Croatia</c:v>
                </c:pt>
                <c:pt idx="20">
                  <c:v>Slovakia</c:v>
                </c:pt>
                <c:pt idx="21">
                  <c:v>Bulgaria</c:v>
                </c:pt>
                <c:pt idx="22">
                  <c:v>Cyprus</c:v>
                </c:pt>
                <c:pt idx="23">
                  <c:v>Latvia</c:v>
                </c:pt>
                <c:pt idx="24">
                  <c:v>Estonia</c:v>
                </c:pt>
                <c:pt idx="25">
                  <c:v>Lithuania</c:v>
                </c:pt>
                <c:pt idx="26">
                  <c:v>Hungary</c:v>
                </c:pt>
                <c:pt idx="27">
                  <c:v>Romania</c:v>
                </c:pt>
                <c:pt idx="28">
                  <c:v>Malta</c:v>
                </c:pt>
                <c:pt idx="29">
                  <c:v>Ireland</c:v>
                </c:pt>
              </c:strCache>
            </c:strRef>
          </c:cat>
          <c:val>
            <c:numRef>
              <c:f>'Sheet 1 (2)'!$B$2:$B$31</c:f>
              <c:numCache>
                <c:formatCode>General</c:formatCode>
                <c:ptCount val="30"/>
                <c:pt idx="0" formatCode="0.0">
                  <c:v>27.9</c:v>
                </c:pt>
                <c:pt idx="2" formatCode="0.0">
                  <c:v>34.51</c:v>
                </c:pt>
                <c:pt idx="3" formatCode="0.0">
                  <c:v>30.08</c:v>
                </c:pt>
                <c:pt idx="4" formatCode="0.0">
                  <c:v>30.34</c:v>
                </c:pt>
                <c:pt idx="5" formatCode="0.0">
                  <c:v>29.9</c:v>
                </c:pt>
                <c:pt idx="6" formatCode="0.0">
                  <c:v>28.37</c:v>
                </c:pt>
                <c:pt idx="7" formatCode="0.0">
                  <c:v>28.67</c:v>
                </c:pt>
                <c:pt idx="8" formatCode="0.0">
                  <c:v>29.7</c:v>
                </c:pt>
                <c:pt idx="9" formatCode="0.0">
                  <c:v>27.61</c:v>
                </c:pt>
                <c:pt idx="10" formatCode="0.0">
                  <c:v>26.78</c:v>
                </c:pt>
                <c:pt idx="11" formatCode="0.0">
                  <c:v>25.6</c:v>
                </c:pt>
                <c:pt idx="12" formatCode="0.0">
                  <c:v>25.48</c:v>
                </c:pt>
                <c:pt idx="13" formatCode="0.0">
                  <c:v>24.27</c:v>
                </c:pt>
                <c:pt idx="14" formatCode="0.0">
                  <c:v>24.67</c:v>
                </c:pt>
                <c:pt idx="15" formatCode="0.0">
                  <c:v>24.26</c:v>
                </c:pt>
                <c:pt idx="16" formatCode="0.0">
                  <c:v>22.18</c:v>
                </c:pt>
                <c:pt idx="17" formatCode="0.0">
                  <c:v>20.96</c:v>
                </c:pt>
                <c:pt idx="18" formatCode="0.0">
                  <c:v>19.940000000000001</c:v>
                </c:pt>
                <c:pt idx="19" formatCode="0.0">
                  <c:v>20.91</c:v>
                </c:pt>
                <c:pt idx="20" formatCode="0.0">
                  <c:v>18.2</c:v>
                </c:pt>
                <c:pt idx="21" formatCode="0.0">
                  <c:v>18.649999999999999</c:v>
                </c:pt>
                <c:pt idx="22" formatCode="0.0">
                  <c:v>20.63</c:v>
                </c:pt>
                <c:pt idx="23" formatCode="0.0">
                  <c:v>18.86</c:v>
                </c:pt>
                <c:pt idx="24" formatCode="0.0">
                  <c:v>15.8</c:v>
                </c:pt>
                <c:pt idx="25" formatCode="0.0">
                  <c:v>16.68</c:v>
                </c:pt>
                <c:pt idx="26" formatCode="0.0">
                  <c:v>16.72</c:v>
                </c:pt>
                <c:pt idx="27" formatCode="0.0">
                  <c:v>16.55</c:v>
                </c:pt>
                <c:pt idx="28" formatCode="0.0">
                  <c:v>14.75</c:v>
                </c:pt>
                <c:pt idx="29" formatCode="0.0">
                  <c:v>11.57</c:v>
                </c:pt>
              </c:numCache>
            </c:numRef>
          </c:val>
          <c:extLst>
            <c:ext xmlns:c16="http://schemas.microsoft.com/office/drawing/2014/chart" uri="{C3380CC4-5D6E-409C-BE32-E72D297353CC}">
              <c16:uniqueId val="{00000000-46CB-4387-B720-6A96FBD4E656}"/>
            </c:ext>
          </c:extLst>
        </c:ser>
        <c:ser>
          <c:idx val="1"/>
          <c:order val="1"/>
          <c:tx>
            <c:strRef>
              <c:f>'Sheet 1 (2)'!$C$1</c:f>
              <c:strCache>
                <c:ptCount val="1"/>
                <c:pt idx="0">
                  <c:v>2023</c:v>
                </c:pt>
              </c:strCache>
            </c:strRef>
          </c:tx>
          <c:spPr>
            <a:solidFill>
              <a:srgbClr val="0070C0"/>
            </a:solidFill>
            <a:ln>
              <a:noFill/>
            </a:ln>
            <a:effectLst/>
          </c:spPr>
          <c:invertIfNegative val="0"/>
          <c:cat>
            <c:strRef>
              <c:f>'Sheet 1 (2)'!$A$2:$A$31</c:f>
              <c:strCache>
                <c:ptCount val="30"/>
                <c:pt idx="0">
                  <c:v>EU  </c:v>
                </c:pt>
                <c:pt idx="2">
                  <c:v>France</c:v>
                </c:pt>
                <c:pt idx="3">
                  <c:v>Finland</c:v>
                </c:pt>
                <c:pt idx="4">
                  <c:v>Austria</c:v>
                </c:pt>
                <c:pt idx="5">
                  <c:v>Germany</c:v>
                </c:pt>
                <c:pt idx="6">
                  <c:v>Denmark</c:v>
                </c:pt>
                <c:pt idx="7">
                  <c:v>Belgium</c:v>
                </c:pt>
                <c:pt idx="8">
                  <c:v>Italy</c:v>
                </c:pt>
                <c:pt idx="9">
                  <c:v>Sweden</c:v>
                </c:pt>
                <c:pt idx="10">
                  <c:v>Netherlands</c:v>
                </c:pt>
                <c:pt idx="11">
                  <c:v>Spain</c:v>
                </c:pt>
                <c:pt idx="12">
                  <c:v>Iceland</c:v>
                </c:pt>
                <c:pt idx="13">
                  <c:v>Greece</c:v>
                </c:pt>
                <c:pt idx="14">
                  <c:v>Portugal</c:v>
                </c:pt>
                <c:pt idx="15">
                  <c:v>Slovenia</c:v>
                </c:pt>
                <c:pt idx="16">
                  <c:v>Luxembourg</c:v>
                </c:pt>
                <c:pt idx="17">
                  <c:v>Poland</c:v>
                </c:pt>
                <c:pt idx="18">
                  <c:v>Czechia</c:v>
                </c:pt>
                <c:pt idx="19">
                  <c:v>Croatia</c:v>
                </c:pt>
                <c:pt idx="20">
                  <c:v>Slovakia</c:v>
                </c:pt>
                <c:pt idx="21">
                  <c:v>Bulgaria</c:v>
                </c:pt>
                <c:pt idx="22">
                  <c:v>Cyprus</c:v>
                </c:pt>
                <c:pt idx="23">
                  <c:v>Latvia</c:v>
                </c:pt>
                <c:pt idx="24">
                  <c:v>Estonia</c:v>
                </c:pt>
                <c:pt idx="25">
                  <c:v>Lithuania</c:v>
                </c:pt>
                <c:pt idx="26">
                  <c:v>Hungary</c:v>
                </c:pt>
                <c:pt idx="27">
                  <c:v>Romania</c:v>
                </c:pt>
                <c:pt idx="28">
                  <c:v>Malta</c:v>
                </c:pt>
                <c:pt idx="29">
                  <c:v>Ireland</c:v>
                </c:pt>
              </c:strCache>
            </c:strRef>
          </c:cat>
          <c:val>
            <c:numRef>
              <c:f>'Sheet 1 (2)'!$C$2:$C$31</c:f>
              <c:numCache>
                <c:formatCode>General</c:formatCode>
                <c:ptCount val="30"/>
                <c:pt idx="0" formatCode="0.0">
                  <c:v>27.82</c:v>
                </c:pt>
                <c:pt idx="2" formatCode="0.0">
                  <c:v>33.799999999999997</c:v>
                </c:pt>
                <c:pt idx="3" formatCode="0.0">
                  <c:v>31.75</c:v>
                </c:pt>
                <c:pt idx="4" formatCode="0.0">
                  <c:v>30.58</c:v>
                </c:pt>
                <c:pt idx="5" formatCode="0.0">
                  <c:v>29.91</c:v>
                </c:pt>
                <c:pt idx="6" formatCode="0.0">
                  <c:v>29.28</c:v>
                </c:pt>
                <c:pt idx="7" formatCode="0.0">
                  <c:v>28.92</c:v>
                </c:pt>
                <c:pt idx="8" formatCode="0.0">
                  <c:v>28.76</c:v>
                </c:pt>
                <c:pt idx="9" formatCode="0.0">
                  <c:v>27.75</c:v>
                </c:pt>
                <c:pt idx="10" formatCode="0.0">
                  <c:v>27.59</c:v>
                </c:pt>
                <c:pt idx="11" formatCode="0.0">
                  <c:v>25.47</c:v>
                </c:pt>
                <c:pt idx="12" formatCode="0.0">
                  <c:v>25.37</c:v>
                </c:pt>
                <c:pt idx="13" formatCode="0.0">
                  <c:v>23.57</c:v>
                </c:pt>
                <c:pt idx="14" formatCode="0.0">
                  <c:v>23.39</c:v>
                </c:pt>
                <c:pt idx="15" formatCode="0.0">
                  <c:v>23.12</c:v>
                </c:pt>
                <c:pt idx="16" formatCode="0.0">
                  <c:v>22.52</c:v>
                </c:pt>
                <c:pt idx="17" formatCode="0.0">
                  <c:v>22.5</c:v>
                </c:pt>
                <c:pt idx="18" formatCode="0.0">
                  <c:v>20.68</c:v>
                </c:pt>
                <c:pt idx="19" formatCode="0.0">
                  <c:v>20.28</c:v>
                </c:pt>
                <c:pt idx="20" formatCode="0.0">
                  <c:v>19.899999999999999</c:v>
                </c:pt>
                <c:pt idx="21" formatCode="0.0">
                  <c:v>19.36</c:v>
                </c:pt>
                <c:pt idx="22" formatCode="0.0">
                  <c:v>19.21</c:v>
                </c:pt>
                <c:pt idx="23" formatCode="0.0">
                  <c:v>17.93</c:v>
                </c:pt>
                <c:pt idx="24" formatCode="0.0">
                  <c:v>17.260000000000002</c:v>
                </c:pt>
                <c:pt idx="25" formatCode="0.0">
                  <c:v>16.95</c:v>
                </c:pt>
                <c:pt idx="26" formatCode="0.0">
                  <c:v>16.79</c:v>
                </c:pt>
                <c:pt idx="27" formatCode="0.0">
                  <c:v>16.62</c:v>
                </c:pt>
                <c:pt idx="28" formatCode="0.0">
                  <c:v>13.22</c:v>
                </c:pt>
                <c:pt idx="29" formatCode="0.0">
                  <c:v>12.59</c:v>
                </c:pt>
              </c:numCache>
            </c:numRef>
          </c:val>
          <c:extLst>
            <c:ext xmlns:c16="http://schemas.microsoft.com/office/drawing/2014/chart" uri="{C3380CC4-5D6E-409C-BE32-E72D297353CC}">
              <c16:uniqueId val="{00000001-46CB-4387-B720-6A96FBD4E656}"/>
            </c:ext>
          </c:extLst>
        </c:ser>
        <c:dLbls>
          <c:showLegendKey val="0"/>
          <c:showVal val="0"/>
          <c:showCatName val="0"/>
          <c:showSerName val="0"/>
          <c:showPercent val="0"/>
          <c:showBubbleSize val="0"/>
        </c:dLbls>
        <c:gapWidth val="100"/>
        <c:overlap val="-24"/>
        <c:axId val="1310787199"/>
        <c:axId val="1310791039"/>
      </c:barChart>
      <c:catAx>
        <c:axId val="131078719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t-EE"/>
          </a:p>
        </c:txPr>
        <c:crossAx val="1310791039"/>
        <c:crosses val="autoZero"/>
        <c:auto val="1"/>
        <c:lblAlgn val="ctr"/>
        <c:lblOffset val="100"/>
        <c:noMultiLvlLbl val="0"/>
      </c:catAx>
      <c:valAx>
        <c:axId val="1310791039"/>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t-EE"/>
          </a:p>
        </c:txPr>
        <c:crossAx val="1310787199"/>
        <c:crosses val="autoZero"/>
        <c:crossBetween val="between"/>
      </c:valAx>
      <c:spPr>
        <a:noFill/>
        <a:ln>
          <a:noFill/>
        </a:ln>
        <a:effectLst/>
      </c:spPr>
    </c:plotArea>
    <c:legend>
      <c:legendPos val="r"/>
      <c:layout>
        <c:manualLayout>
          <c:xMode val="edge"/>
          <c:yMode val="edge"/>
          <c:x val="0.82059080780268912"/>
          <c:y val="2.4047898271221668E-2"/>
          <c:w val="0.1560401346695609"/>
          <c:h val="9.8527356987080428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mn-lt"/>
              <a:ea typeface="+mn-ea"/>
              <a:cs typeface="+mn-cs"/>
            </a:defRPr>
          </a:pPr>
          <a:endParaRPr lang="et-EE"/>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t-E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Leht1!$A$17</c:f>
              <c:strCache>
                <c:ptCount val="1"/>
                <c:pt idx="0">
                  <c:v>Tööealiste ja pensioniealiste suhe (pensioniiga 65)</c:v>
                </c:pt>
              </c:strCache>
            </c:strRef>
          </c:tx>
          <c:spPr>
            <a:ln w="28575" cap="rnd">
              <a:solidFill>
                <a:schemeClr val="accent1"/>
              </a:solidFill>
              <a:round/>
            </a:ln>
            <a:effectLst/>
          </c:spPr>
          <c:marker>
            <c:symbol val="none"/>
          </c:marker>
          <c:dLbls>
            <c:dLbl>
              <c:idx val="1"/>
              <c:layout>
                <c:manualLayout>
                  <c:x val="-3.9598208921748465E-2"/>
                  <c:y val="1.97483825889222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78-410E-93E5-BE2E4A39E692}"/>
                </c:ext>
              </c:extLst>
            </c:dLbl>
            <c:dLbl>
              <c:idx val="2"/>
              <c:layout>
                <c:manualLayout>
                  <c:x val="-3.9598208921748541E-2"/>
                  <c:y val="2.33438876979368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78-410E-93E5-BE2E4A39E692}"/>
                </c:ext>
              </c:extLst>
            </c:dLbl>
            <c:dLbl>
              <c:idx val="3"/>
              <c:layout>
                <c:manualLayout>
                  <c:x val="-3.5529032929886815E-2"/>
                  <c:y val="3.0534897915965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78-410E-93E5-BE2E4A39E692}"/>
                </c:ext>
              </c:extLst>
            </c:dLbl>
            <c:dLbl>
              <c:idx val="4"/>
              <c:layout>
                <c:manualLayout>
                  <c:x val="-3.1459856938025166E-2"/>
                  <c:y val="3.77259081339949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78-410E-93E5-BE2E4A39E6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Leht1!$B$16:$H$16</c:f>
              <c:numCache>
                <c:formatCode>General</c:formatCode>
                <c:ptCount val="7"/>
                <c:pt idx="0">
                  <c:v>2025</c:v>
                </c:pt>
                <c:pt idx="1">
                  <c:v>2030</c:v>
                </c:pt>
                <c:pt idx="2">
                  <c:v>2040</c:v>
                </c:pt>
                <c:pt idx="3">
                  <c:v>2050</c:v>
                </c:pt>
                <c:pt idx="4">
                  <c:v>2060</c:v>
                </c:pt>
                <c:pt idx="5">
                  <c:v>2070</c:v>
                </c:pt>
                <c:pt idx="6">
                  <c:v>2080</c:v>
                </c:pt>
              </c:numCache>
            </c:numRef>
          </c:cat>
          <c:val>
            <c:numRef>
              <c:f>Leht1!$B$17:$H$17</c:f>
              <c:numCache>
                <c:formatCode>0.00</c:formatCode>
                <c:ptCount val="7"/>
                <c:pt idx="0">
                  <c:v>2.8191819561318803</c:v>
                </c:pt>
                <c:pt idx="1">
                  <c:v>2.6915829166487657</c:v>
                </c:pt>
                <c:pt idx="2">
                  <c:v>2.4283873164089096</c:v>
                </c:pt>
                <c:pt idx="3">
                  <c:v>2.0562935114408578</c:v>
                </c:pt>
                <c:pt idx="4">
                  <c:v>1.7192285761861752</c:v>
                </c:pt>
                <c:pt idx="5">
                  <c:v>1.7912029089835171</c:v>
                </c:pt>
                <c:pt idx="6">
                  <c:v>1.6282469067646075</c:v>
                </c:pt>
              </c:numCache>
            </c:numRef>
          </c:val>
          <c:smooth val="0"/>
          <c:extLst>
            <c:ext xmlns:c16="http://schemas.microsoft.com/office/drawing/2014/chart" uri="{C3380CC4-5D6E-409C-BE32-E72D297353CC}">
              <c16:uniqueId val="{00000004-E678-410E-93E5-BE2E4A39E692}"/>
            </c:ext>
          </c:extLst>
        </c:ser>
        <c:ser>
          <c:idx val="1"/>
          <c:order val="1"/>
          <c:tx>
            <c:strRef>
              <c:f>Leht1!$A$18</c:f>
              <c:strCache>
                <c:ptCount val="1"/>
                <c:pt idx="0">
                  <c:v>Tööealiste ja pensioniealiste suhe (pensioniiga seotud eeldatava elueaga)</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5-E678-410E-93E5-BE2E4A39E692}"/>
                </c:ext>
              </c:extLst>
            </c:dLbl>
            <c:dLbl>
              <c:idx val="2"/>
              <c:layout>
                <c:manualLayout>
                  <c:x val="-3.3494444933955994E-2"/>
                  <c:y val="-3.4130403024980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78-410E-93E5-BE2E4A39E692}"/>
                </c:ext>
              </c:extLst>
            </c:dLbl>
            <c:dLbl>
              <c:idx val="3"/>
              <c:layout>
                <c:manualLayout>
                  <c:x val="-3.9598208921748541E-2"/>
                  <c:y val="-2.69393928069513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78-410E-93E5-BE2E4A39E692}"/>
                </c:ext>
              </c:extLst>
            </c:dLbl>
            <c:dLbl>
              <c:idx val="4"/>
              <c:layout>
                <c:manualLayout>
                  <c:x val="-3.5320630430904873E-2"/>
                  <c:y val="3.0321586460651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678-410E-93E5-BE2E4A39E692}"/>
                </c:ext>
              </c:extLst>
            </c:dLbl>
            <c:dLbl>
              <c:idx val="5"/>
              <c:layout>
                <c:manualLayout>
                  <c:x val="-2.5207361822490636E-2"/>
                  <c:y val="3.38856953786977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78-410E-93E5-BE2E4A39E692}"/>
                </c:ext>
              </c:extLst>
            </c:dLbl>
            <c:dLbl>
              <c:idx val="6"/>
              <c:layout>
                <c:manualLayout>
                  <c:x val="-1.1113976978717077E-2"/>
                  <c:y val="-1.77085704384930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678-410E-93E5-BE2E4A39E6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Leht1!$B$16:$H$16</c:f>
              <c:numCache>
                <c:formatCode>General</c:formatCode>
                <c:ptCount val="7"/>
                <c:pt idx="0">
                  <c:v>2025</c:v>
                </c:pt>
                <c:pt idx="1">
                  <c:v>2030</c:v>
                </c:pt>
                <c:pt idx="2">
                  <c:v>2040</c:v>
                </c:pt>
                <c:pt idx="3">
                  <c:v>2050</c:v>
                </c:pt>
                <c:pt idx="4">
                  <c:v>2060</c:v>
                </c:pt>
                <c:pt idx="5">
                  <c:v>2070</c:v>
                </c:pt>
                <c:pt idx="6">
                  <c:v>2080</c:v>
                </c:pt>
              </c:numCache>
            </c:numRef>
          </c:cat>
          <c:val>
            <c:numRef>
              <c:f>Leht1!$B$18:$H$18</c:f>
              <c:numCache>
                <c:formatCode>0.00</c:formatCode>
                <c:ptCount val="7"/>
                <c:pt idx="0">
                  <c:v>2.8191819561318803</c:v>
                </c:pt>
                <c:pt idx="1">
                  <c:v>2.8104909928642416</c:v>
                </c:pt>
                <c:pt idx="2">
                  <c:v>2.7556220916390197</c:v>
                </c:pt>
                <c:pt idx="3">
                  <c:v>2.5147707451985264</c:v>
                </c:pt>
                <c:pt idx="4">
                  <c:v>2.1816807774510845</c:v>
                </c:pt>
                <c:pt idx="5">
                  <c:v>2.3625197940937759</c:v>
                </c:pt>
                <c:pt idx="6">
                  <c:v>2.4395891436228756</c:v>
                </c:pt>
              </c:numCache>
            </c:numRef>
          </c:val>
          <c:smooth val="0"/>
          <c:extLst>
            <c:ext xmlns:c16="http://schemas.microsoft.com/office/drawing/2014/chart" uri="{C3380CC4-5D6E-409C-BE32-E72D297353CC}">
              <c16:uniqueId val="{0000000B-E678-410E-93E5-BE2E4A39E692}"/>
            </c:ext>
          </c:extLst>
        </c:ser>
        <c:dLbls>
          <c:showLegendKey val="0"/>
          <c:showVal val="1"/>
          <c:showCatName val="0"/>
          <c:showSerName val="0"/>
          <c:showPercent val="0"/>
          <c:showBubbleSize val="0"/>
        </c:dLbls>
        <c:marker val="1"/>
        <c:smooth val="0"/>
        <c:axId val="100277008"/>
        <c:axId val="100277488"/>
      </c:lineChart>
      <c:lineChart>
        <c:grouping val="standard"/>
        <c:varyColors val="0"/>
        <c:ser>
          <c:idx val="2"/>
          <c:order val="2"/>
          <c:tx>
            <c:strRef>
              <c:f>Leht1!$A$19</c:f>
              <c:strCache>
                <c:ptCount val="1"/>
                <c:pt idx="0">
                  <c:v>Prognoositud pensioniiga</c:v>
                </c:pt>
              </c:strCache>
            </c:strRef>
          </c:tx>
          <c:spPr>
            <a:ln w="28575" cap="rnd">
              <a:solidFill>
                <a:schemeClr val="accent3"/>
              </a:solidFill>
              <a:round/>
            </a:ln>
            <a:effectLst/>
          </c:spPr>
          <c:marker>
            <c:symbol val="none"/>
          </c:marker>
          <c:dLbls>
            <c:dLbl>
              <c:idx val="0"/>
              <c:layout>
                <c:manualLayout>
                  <c:x val="-4.6642849704824539E-2"/>
                  <c:y val="-2.8764040872116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678-410E-93E5-BE2E4A39E692}"/>
                </c:ext>
              </c:extLst>
            </c:dLbl>
            <c:dLbl>
              <c:idx val="1"/>
              <c:layout>
                <c:manualLayout>
                  <c:x val="-5.681578968447866E-2"/>
                  <c:y val="-1.79775255450730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678-410E-93E5-BE2E4A39E692}"/>
                </c:ext>
              </c:extLst>
            </c:dLbl>
            <c:dLbl>
              <c:idx val="6"/>
              <c:layout>
                <c:manualLayout>
                  <c:x val="-6.0884965676340302E-2"/>
                  <c:y val="-1.43820204360583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678-410E-93E5-BE2E4A39E6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Leht1!$B$16:$H$16</c:f>
              <c:numCache>
                <c:formatCode>General</c:formatCode>
                <c:ptCount val="7"/>
                <c:pt idx="0">
                  <c:v>2025</c:v>
                </c:pt>
                <c:pt idx="1">
                  <c:v>2030</c:v>
                </c:pt>
                <c:pt idx="2">
                  <c:v>2040</c:v>
                </c:pt>
                <c:pt idx="3">
                  <c:v>2050</c:v>
                </c:pt>
                <c:pt idx="4">
                  <c:v>2060</c:v>
                </c:pt>
                <c:pt idx="5">
                  <c:v>2070</c:v>
                </c:pt>
                <c:pt idx="6">
                  <c:v>2080</c:v>
                </c:pt>
              </c:numCache>
            </c:numRef>
          </c:cat>
          <c:val>
            <c:numRef>
              <c:f>Leht1!$B$19:$H$19</c:f>
              <c:numCache>
                <c:formatCode>0.0</c:formatCode>
                <c:ptCount val="7"/>
                <c:pt idx="0">
                  <c:v>64.800000000000011</c:v>
                </c:pt>
                <c:pt idx="1">
                  <c:v>65.583333333333329</c:v>
                </c:pt>
                <c:pt idx="2">
                  <c:v>66.666666666666671</c:v>
                </c:pt>
                <c:pt idx="3">
                  <c:v>67.583333333333329</c:v>
                </c:pt>
                <c:pt idx="4">
                  <c:v>68.5</c:v>
                </c:pt>
                <c:pt idx="5">
                  <c:v>69.5</c:v>
                </c:pt>
                <c:pt idx="6">
                  <c:v>70.583333333333329</c:v>
                </c:pt>
              </c:numCache>
            </c:numRef>
          </c:val>
          <c:smooth val="0"/>
          <c:extLst>
            <c:ext xmlns:c16="http://schemas.microsoft.com/office/drawing/2014/chart" uri="{C3380CC4-5D6E-409C-BE32-E72D297353CC}">
              <c16:uniqueId val="{0000000F-E678-410E-93E5-BE2E4A39E692}"/>
            </c:ext>
          </c:extLst>
        </c:ser>
        <c:dLbls>
          <c:showLegendKey val="0"/>
          <c:showVal val="1"/>
          <c:showCatName val="0"/>
          <c:showSerName val="0"/>
          <c:showPercent val="0"/>
          <c:showBubbleSize val="0"/>
        </c:dLbls>
        <c:marker val="1"/>
        <c:smooth val="0"/>
        <c:axId val="1695853456"/>
        <c:axId val="1695860176"/>
      </c:lineChart>
      <c:catAx>
        <c:axId val="10027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00277488"/>
        <c:crosses val="autoZero"/>
        <c:auto val="1"/>
        <c:lblAlgn val="ctr"/>
        <c:lblOffset val="100"/>
        <c:noMultiLvlLbl val="0"/>
      </c:catAx>
      <c:valAx>
        <c:axId val="100277488"/>
        <c:scaling>
          <c:orientation val="minMax"/>
          <c:min val="1.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00277008"/>
        <c:crosses val="autoZero"/>
        <c:crossBetween val="between"/>
      </c:valAx>
      <c:valAx>
        <c:axId val="1695860176"/>
        <c:scaling>
          <c:orientation val="minMax"/>
          <c:min val="64"/>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695853456"/>
        <c:crosses val="max"/>
        <c:crossBetween val="between"/>
      </c:valAx>
      <c:catAx>
        <c:axId val="1695853456"/>
        <c:scaling>
          <c:orientation val="minMax"/>
        </c:scaling>
        <c:delete val="1"/>
        <c:axPos val="b"/>
        <c:numFmt formatCode="General" sourceLinked="1"/>
        <c:majorTickMark val="none"/>
        <c:minorTickMark val="none"/>
        <c:tickLblPos val="nextTo"/>
        <c:crossAx val="16958601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t-EE"/>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3D9FD3B5864D46931E1E2A8BE98CFC" ma:contentTypeVersion="11" ma:contentTypeDescription="Loo uus dokument" ma:contentTypeScope="" ma:versionID="0baa4bfe3852cbb0b6155e47f85353d9">
  <xsd:schema xmlns:xsd="http://www.w3.org/2001/XMLSchema" xmlns:xs="http://www.w3.org/2001/XMLSchema" xmlns:p="http://schemas.microsoft.com/office/2006/metadata/properties" xmlns:ns2="822cc49e-8219-424e-b043-9b9afdfe0ee4" xmlns:ns3="08adef74-251f-42fc-9024-6df5c4e3f36b" targetNamespace="http://schemas.microsoft.com/office/2006/metadata/properties" ma:root="true" ma:fieldsID="1578e2d53315aa1c5299cef404c892eb" ns2:_="" ns3:_="">
    <xsd:import namespace="822cc49e-8219-424e-b043-9b9afdfe0ee4"/>
    <xsd:import namespace="08adef74-251f-42fc-9024-6df5c4e3f3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cc49e-8219-424e-b043-9b9afdfe0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adef74-251f-42fc-9024-6df5c4e3f36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0d2d6d2-f65b-4c89-ab29-d96283ed764a}" ma:internalName="TaxCatchAll" ma:showField="CatchAllData" ma:web="08adef74-251f-42fc-9024-6df5c4e3f3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8adef74-251f-42fc-9024-6df5c4e3f36b" xsi:nil="true"/>
    <lcf76f155ced4ddcb4097134ff3c332f xmlns="822cc49e-8219-424e-b043-9b9afdfe0e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1BC47A-8014-4C40-867C-4AE1A3401C80}">
  <ds:schemaRefs>
    <ds:schemaRef ds:uri="http://schemas.openxmlformats.org/officeDocument/2006/bibliography"/>
  </ds:schemaRefs>
</ds:datastoreItem>
</file>

<file path=customXml/itemProps2.xml><?xml version="1.0" encoding="utf-8"?>
<ds:datastoreItem xmlns:ds="http://schemas.openxmlformats.org/officeDocument/2006/customXml" ds:itemID="{F49A1AA4-818D-4CB7-A605-998225CA8DA4}">
  <ds:schemaRefs>
    <ds:schemaRef ds:uri="http://schemas.microsoft.com/sharepoint/v3/contenttype/forms"/>
  </ds:schemaRefs>
</ds:datastoreItem>
</file>

<file path=customXml/itemProps3.xml><?xml version="1.0" encoding="utf-8"?>
<ds:datastoreItem xmlns:ds="http://schemas.openxmlformats.org/officeDocument/2006/customXml" ds:itemID="{B3765EF7-1895-45C0-9967-FCF51A7D5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cc49e-8219-424e-b043-9b9afdfe0ee4"/>
    <ds:schemaRef ds:uri="08adef74-251f-42fc-9024-6df5c4e3f3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D5E26F-246F-4C6E-88FA-AAC51186C1F7}">
  <ds:schemaRefs>
    <ds:schemaRef ds:uri="http://schemas.microsoft.com/office/2006/metadata/properties"/>
    <ds:schemaRef ds:uri="http://schemas.microsoft.com/office/infopath/2007/PartnerControls"/>
    <ds:schemaRef ds:uri="08adef74-251f-42fc-9024-6df5c4e3f36b"/>
    <ds:schemaRef ds:uri="822cc49e-8219-424e-b043-9b9afdfe0ee4"/>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2436</Words>
  <Characters>17959</Characters>
  <Application>Microsoft Office Word</Application>
  <DocSecurity>0</DocSecurity>
  <Lines>332</Lines>
  <Paragraphs>76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20319</CharactersWithSpaces>
  <SharedDoc>false</SharedDoc>
  <HLinks>
    <vt:vector size="150" baseType="variant">
      <vt:variant>
        <vt:i4>1835060</vt:i4>
      </vt:variant>
      <vt:variant>
        <vt:i4>12</vt:i4>
      </vt:variant>
      <vt:variant>
        <vt:i4>0</vt:i4>
      </vt:variant>
      <vt:variant>
        <vt:i4>5</vt:i4>
      </vt:variant>
      <vt:variant>
        <vt:lpwstr>mailto:(reet.kodu@sm.ee</vt:lpwstr>
      </vt:variant>
      <vt:variant>
        <vt:lpwstr/>
      </vt:variant>
      <vt:variant>
        <vt:i4>6225981</vt:i4>
      </vt:variant>
      <vt:variant>
        <vt:i4>9</vt:i4>
      </vt:variant>
      <vt:variant>
        <vt:i4>0</vt:i4>
      </vt:variant>
      <vt:variant>
        <vt:i4>5</vt:i4>
      </vt:variant>
      <vt:variant>
        <vt:lpwstr>mailto:elo.reitalu@sm.ee</vt:lpwstr>
      </vt:variant>
      <vt:variant>
        <vt:lpwstr/>
      </vt:variant>
      <vt:variant>
        <vt:i4>2818050</vt:i4>
      </vt:variant>
      <vt:variant>
        <vt:i4>6</vt:i4>
      </vt:variant>
      <vt:variant>
        <vt:i4>0</vt:i4>
      </vt:variant>
      <vt:variant>
        <vt:i4>5</vt:i4>
      </vt:variant>
      <vt:variant>
        <vt:lpwstr>mailto:merle.sumil-laanemaa@sm.ee</vt:lpwstr>
      </vt:variant>
      <vt:variant>
        <vt:lpwstr/>
      </vt:variant>
      <vt:variant>
        <vt:i4>1310824</vt:i4>
      </vt:variant>
      <vt:variant>
        <vt:i4>3</vt:i4>
      </vt:variant>
      <vt:variant>
        <vt:i4>0</vt:i4>
      </vt:variant>
      <vt:variant>
        <vt:i4>5</vt:i4>
      </vt:variant>
      <vt:variant>
        <vt:lpwstr>mailto:magnus.piirits@sm.ee</vt:lpwstr>
      </vt:variant>
      <vt:variant>
        <vt:lpwstr/>
      </vt:variant>
      <vt:variant>
        <vt:i4>524408</vt:i4>
      </vt:variant>
      <vt:variant>
        <vt:i4>0</vt:i4>
      </vt:variant>
      <vt:variant>
        <vt:i4>0</vt:i4>
      </vt:variant>
      <vt:variant>
        <vt:i4>5</vt:i4>
      </vt:variant>
      <vt:variant>
        <vt:lpwstr>mailto:liidia.soontak@sm.ee</vt:lpwstr>
      </vt:variant>
      <vt:variant>
        <vt:lpwstr/>
      </vt:variant>
      <vt:variant>
        <vt:i4>1114205</vt:i4>
      </vt:variant>
      <vt:variant>
        <vt:i4>57</vt:i4>
      </vt:variant>
      <vt:variant>
        <vt:i4>0</vt:i4>
      </vt:variant>
      <vt:variant>
        <vt:i4>5</vt:i4>
      </vt:variant>
      <vt:variant>
        <vt:lpwstr>https://www.sm.ee/sites/default/files/content-editors/Uudised_pressiinfo/vanaduspensioni_jatkusuutlikkuse_analuus_2016.pdf</vt:lpwstr>
      </vt:variant>
      <vt:variant>
        <vt:lpwstr/>
      </vt:variant>
      <vt:variant>
        <vt:i4>7798800</vt:i4>
      </vt:variant>
      <vt:variant>
        <vt:i4>54</vt:i4>
      </vt:variant>
      <vt:variant>
        <vt:i4>0</vt:i4>
      </vt:variant>
      <vt:variant>
        <vt:i4>5</vt:i4>
      </vt:variant>
      <vt:variant>
        <vt:lpwstr>https://www.sm.ee/sites/default/files/documents/2022-12/Eesti pensionis%C3%BCsteemi j%C3%A4tkusuutlikkuse anal%C3%BC%C3%BCs_sotsiaalministeerium.pdf</vt:lpwstr>
      </vt:variant>
      <vt:variant>
        <vt:lpwstr/>
      </vt:variant>
      <vt:variant>
        <vt:i4>7733358</vt:i4>
      </vt:variant>
      <vt:variant>
        <vt:i4>51</vt:i4>
      </vt:variant>
      <vt:variant>
        <vt:i4>0</vt:i4>
      </vt:variant>
      <vt:variant>
        <vt:i4>5</vt:i4>
      </vt:variant>
      <vt:variant>
        <vt:lpwstr>https://www.sotsiaalkindlustusamet.ee/asutus-uudised-ja-kontakt/praktiline-teave/statistika</vt:lpwstr>
      </vt:variant>
      <vt:variant>
        <vt:lpwstr>koond</vt:lpwstr>
      </vt:variant>
      <vt:variant>
        <vt:i4>2949180</vt:i4>
      </vt:variant>
      <vt:variant>
        <vt:i4>48</vt:i4>
      </vt:variant>
      <vt:variant>
        <vt:i4>0</vt:i4>
      </vt:variant>
      <vt:variant>
        <vt:i4>5</vt:i4>
      </vt:variant>
      <vt:variant>
        <vt:lpwstr>https://www.eestipank.ee/publikatsioonid/toimetised/2020/32020-orsolya-soosaar-allan-puur-lauri-leppik-kas-pensioniea-kergitamine-pikendab-tooelu-eesti</vt:lpwstr>
      </vt:variant>
      <vt:variant>
        <vt:lpwstr/>
      </vt:variant>
      <vt:variant>
        <vt:i4>7929960</vt:i4>
      </vt:variant>
      <vt:variant>
        <vt:i4>45</vt:i4>
      </vt:variant>
      <vt:variant>
        <vt:i4>0</vt:i4>
      </vt:variant>
      <vt:variant>
        <vt:i4>5</vt:i4>
      </vt:variant>
      <vt:variant>
        <vt:lpwstr>https://www.etk.fi/en/topical-issues/rising-retirement-age-reflected-in-rising-employment-rate-unemployment-and-disability-have-also-increased/</vt:lpwstr>
      </vt:variant>
      <vt:variant>
        <vt:lpwstr/>
      </vt:variant>
      <vt:variant>
        <vt:i4>852082</vt:i4>
      </vt:variant>
      <vt:variant>
        <vt:i4>42</vt:i4>
      </vt:variant>
      <vt:variant>
        <vt:i4>0</vt:i4>
      </vt:variant>
      <vt:variant>
        <vt:i4>5</vt:i4>
      </vt:variant>
      <vt:variant>
        <vt:lpwstr>https://www.nber.org/system/files/working_papers/w11811/w11811.pdf</vt:lpwstr>
      </vt:variant>
      <vt:variant>
        <vt:lpwstr/>
      </vt:variant>
      <vt:variant>
        <vt:i4>458758</vt:i4>
      </vt:variant>
      <vt:variant>
        <vt:i4>39</vt:i4>
      </vt:variant>
      <vt:variant>
        <vt:i4>0</vt:i4>
      </vt:variant>
      <vt:variant>
        <vt:i4>5</vt:i4>
      </vt:variant>
      <vt:variant>
        <vt:lpwstr>https://link.springer.com/article/10.1186/s12877-022-03690-4</vt:lpwstr>
      </vt:variant>
      <vt:variant>
        <vt:lpwstr/>
      </vt:variant>
      <vt:variant>
        <vt:i4>589836</vt:i4>
      </vt:variant>
      <vt:variant>
        <vt:i4>36</vt:i4>
      </vt:variant>
      <vt:variant>
        <vt:i4>0</vt:i4>
      </vt:variant>
      <vt:variant>
        <vt:i4>5</vt:i4>
      </vt:variant>
      <vt:variant>
        <vt:lpwstr>https://link.springer.com/article/10.1007/s12062-020-09280-9</vt:lpwstr>
      </vt:variant>
      <vt:variant>
        <vt:lpwstr/>
      </vt:variant>
      <vt:variant>
        <vt:i4>7798905</vt:i4>
      </vt:variant>
      <vt:variant>
        <vt:i4>33</vt:i4>
      </vt:variant>
      <vt:variant>
        <vt:i4>0</vt:i4>
      </vt:variant>
      <vt:variant>
        <vt:i4>5</vt:i4>
      </vt:variant>
      <vt:variant>
        <vt:lpwstr>https://www.eurofound.europa.eu/en/publications/all/keeping-older-workers-labour-force</vt:lpwstr>
      </vt:variant>
      <vt:variant>
        <vt:lpwstr/>
      </vt:variant>
      <vt:variant>
        <vt:i4>8126536</vt:i4>
      </vt:variant>
      <vt:variant>
        <vt:i4>30</vt:i4>
      </vt:variant>
      <vt:variant>
        <vt:i4>0</vt:i4>
      </vt:variant>
      <vt:variant>
        <vt:i4>5</vt:i4>
      </vt:variant>
      <vt:variant>
        <vt:lpwstr>https://www.oecd.org/en/publications/labour-supply-of-older-people-in-advance-economies-the-impact-of-changes-to-statutory-retirement-ages_b9f8d292-en.html</vt:lpwstr>
      </vt:variant>
      <vt:variant>
        <vt:lpwstr/>
      </vt:variant>
      <vt:variant>
        <vt:i4>2752528</vt:i4>
      </vt:variant>
      <vt:variant>
        <vt:i4>27</vt:i4>
      </vt:variant>
      <vt:variant>
        <vt:i4>0</vt:i4>
      </vt:variant>
      <vt:variant>
        <vt:i4>5</vt:i4>
      </vt:variant>
      <vt:variant>
        <vt:lpwstr>https://www.oecd.org/en/publications/is-it-worth-raising-the-normal-retirement-age_5f2a3b40-en.html</vt:lpwstr>
      </vt:variant>
      <vt:variant>
        <vt:lpwstr/>
      </vt:variant>
      <vt:variant>
        <vt:i4>7929961</vt:i4>
      </vt:variant>
      <vt:variant>
        <vt:i4>24</vt:i4>
      </vt:variant>
      <vt:variant>
        <vt:i4>0</vt:i4>
      </vt:variant>
      <vt:variant>
        <vt:i4>5</vt:i4>
      </vt:variant>
      <vt:variant>
        <vt:lpwstr>https://www.sm.ee/sites/default/files/documents/2023-04/Heaolu arengukava 2023-2030.pdf</vt:lpwstr>
      </vt:variant>
      <vt:variant>
        <vt:lpwstr/>
      </vt:variant>
      <vt:variant>
        <vt:i4>917505</vt:i4>
      </vt:variant>
      <vt:variant>
        <vt:i4>21</vt:i4>
      </vt:variant>
      <vt:variant>
        <vt:i4>0</vt:i4>
      </vt:variant>
      <vt:variant>
        <vt:i4>5</vt:i4>
      </vt:variant>
      <vt:variant>
        <vt:lpwstr>https://mkm.ee/sites/default/files/documents/2023-07/vanemaealised_tooturul_loppraport.pdf</vt:lpwstr>
      </vt:variant>
      <vt:variant>
        <vt:lpwstr/>
      </vt:variant>
      <vt:variant>
        <vt:i4>4980806</vt:i4>
      </vt:variant>
      <vt:variant>
        <vt:i4>18</vt:i4>
      </vt:variant>
      <vt:variant>
        <vt:i4>0</vt:i4>
      </vt:variant>
      <vt:variant>
        <vt:i4>5</vt:i4>
      </vt:variant>
      <vt:variant>
        <vt:lpwstr>https://op.europa.eu/en/publication-detail/-/publication/c854e35f-2eb1-11ef-a61b-01aa75ed71a1/language-en</vt:lpwstr>
      </vt:variant>
      <vt:variant>
        <vt:lpwstr/>
      </vt:variant>
      <vt:variant>
        <vt:i4>3342423</vt:i4>
      </vt:variant>
      <vt:variant>
        <vt:i4>15</vt:i4>
      </vt:variant>
      <vt:variant>
        <vt:i4>0</vt:i4>
      </vt:variant>
      <vt:variant>
        <vt:i4>5</vt:i4>
      </vt:variant>
      <vt:variant>
        <vt:lpwstr>https://www.oecd.org/content/dam/oecd/en/publications/reports/2025/11/pensions-at-a-glance-2025_76510fe4/e40274c1-en.pdf</vt:lpwstr>
      </vt:variant>
      <vt:variant>
        <vt:lpwstr/>
      </vt:variant>
      <vt:variant>
        <vt:i4>2687101</vt:i4>
      </vt:variant>
      <vt:variant>
        <vt:i4>12</vt:i4>
      </vt:variant>
      <vt:variant>
        <vt:i4>0</vt:i4>
      </vt:variant>
      <vt:variant>
        <vt:i4>5</vt:i4>
      </vt:variant>
      <vt:variant>
        <vt:lpwstr>https://www.oecd.org/en/publications/oecd-employment-outlook-2025_194a947b-en/full-report/navigating-the-golden-years-making-the-labour-market-work-for-older-workers_2bc681ed.html</vt:lpwstr>
      </vt:variant>
      <vt:variant>
        <vt:lpwstr/>
      </vt:variant>
      <vt:variant>
        <vt:i4>6684722</vt:i4>
      </vt:variant>
      <vt:variant>
        <vt:i4>9</vt:i4>
      </vt:variant>
      <vt:variant>
        <vt:i4>0</vt:i4>
      </vt:variant>
      <vt:variant>
        <vt:i4>5</vt:i4>
      </vt:variant>
      <vt:variant>
        <vt:lpwstr>https://ec.europa.eu/eurostat/databrowser/view/proj_25nalexp__custom_21668887/default/table</vt:lpwstr>
      </vt:variant>
      <vt:variant>
        <vt:lpwstr/>
      </vt:variant>
      <vt:variant>
        <vt:i4>7340086</vt:i4>
      </vt:variant>
      <vt:variant>
        <vt:i4>6</vt:i4>
      </vt:variant>
      <vt:variant>
        <vt:i4>0</vt:i4>
      </vt:variant>
      <vt:variant>
        <vt:i4>5</vt:i4>
      </vt:variant>
      <vt:variant>
        <vt:lpwstr>https://ec.europa.eu/eurostat/databrowser/bookmark/a834b579-b3e0-40a3-96ff-a693a4f18339?lang=en&amp;createdAt=2026-06-08T06:53:03Z</vt:lpwstr>
      </vt:variant>
      <vt:variant>
        <vt:lpwstr/>
      </vt:variant>
      <vt:variant>
        <vt:i4>5701700</vt:i4>
      </vt:variant>
      <vt:variant>
        <vt:i4>3</vt:i4>
      </vt:variant>
      <vt:variant>
        <vt:i4>0</vt:i4>
      </vt:variant>
      <vt:variant>
        <vt:i4>5</vt:i4>
      </vt:variant>
      <vt:variant>
        <vt:lpwstr>https://andmed.stat.ee/et/stat/rahvastik__rahvastikunaitajad-ja-koosseis__rahvaarv-ja-rahvastiku-koosseis/RV0212</vt:lpwstr>
      </vt:variant>
      <vt:variant>
        <vt:lpwstr/>
      </vt:variant>
      <vt:variant>
        <vt:i4>7274613</vt:i4>
      </vt:variant>
      <vt:variant>
        <vt:i4>0</vt:i4>
      </vt:variant>
      <vt:variant>
        <vt:i4>0</vt:i4>
      </vt:variant>
      <vt:variant>
        <vt:i4>5</vt:i4>
      </vt:variant>
      <vt:variant>
        <vt:lpwstr>https://andmed.stat.ee/et/stat/rahvastik__rahvastikunaitajad-ja-koosseis__rahvaarv-ja-rahvastiku-koosseis/RV083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Liidia Soontak</dc:creator>
  <cp:keywords/>
  <dc:description/>
  <cp:lastModifiedBy>Magnus Piirits - SOM</cp:lastModifiedBy>
  <cp:revision>9</cp:revision>
  <dcterms:created xsi:type="dcterms:W3CDTF">2026-08-12T06:36:00Z</dcterms:created>
  <dcterms:modified xsi:type="dcterms:W3CDTF">2026-08-21T22:43:00Z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0x0101006F3D9FD3B5864D46931E1E2A8BE98CFC</vt:lpwstr>
  </property>
  <property fmtid="{D5CDD505-2E9C-101B-9397-08002B2CF9AE}" pid="3" name="_dlc_DocIdItemGuid">
    <vt:lpwstr>984a4e60-1af1-4a90-99c4-b4e548252a3f</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2024-09-02T03:16:17Z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1eb1324f-6819-4023-be44-7ea7c71d1eda</vt:lpwstr>
  </property>
  <property fmtid="{D5CDD505-2E9C-101B-9397-08002B2CF9AE}" pid="11" name="MSIP_Label_defa4170-0d19-0005-0004-bc88714345d2_ContentBits">
    <vt:lpwstr>0</vt:lpwstr>
  </property>
  <property fmtid="{D5CDD505-2E9C-101B-9397-08002B2CF9AE}" pid="12" name="docLang">
    <vt:lpwstr>et</vt:lpwstr>
  </property>
</Properties>
</file>